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5BE" w:rsidRDefault="002065BE" w:rsidP="002065BE">
      <w:pPr>
        <w:ind w:left="4956"/>
        <w:rPr>
          <w:rFonts w:ascii="Times-Roman" w:hAnsi="Times-Roman" w:cs="Times-Roman"/>
        </w:rPr>
      </w:pPr>
    </w:p>
    <w:p w:rsidR="00CE3825" w:rsidRDefault="00CE3825"/>
    <w:tbl>
      <w:tblPr>
        <w:tblW w:w="8931"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991"/>
        <w:gridCol w:w="3205"/>
        <w:gridCol w:w="683"/>
        <w:gridCol w:w="1924"/>
      </w:tblGrid>
      <w:tr w:rsidR="00CE3825" w:rsidTr="0017159B">
        <w:tc>
          <w:tcPr>
            <w:tcW w:w="2127" w:type="dxa"/>
            <w:vAlign w:val="bottom"/>
          </w:tcPr>
          <w:p w:rsidR="00CE3825" w:rsidRDefault="002065BE">
            <w:pPr>
              <w:widowControl w:val="0"/>
              <w:spacing w:before="40" w:line="360" w:lineRule="auto"/>
            </w:pPr>
            <w:r>
              <w:t>Il/la sottoscritto/a</w:t>
            </w:r>
          </w:p>
        </w:tc>
        <w:tc>
          <w:tcPr>
            <w:tcW w:w="6803" w:type="dxa"/>
            <w:gridSpan w:val="4"/>
            <w:vAlign w:val="bottom"/>
          </w:tcPr>
          <w:p w:rsidR="00CE3825" w:rsidRDefault="00CE3825">
            <w:pPr>
              <w:widowControl w:val="0"/>
              <w:spacing w:before="40" w:line="360" w:lineRule="auto"/>
              <w:rPr>
                <w:b/>
              </w:rPr>
            </w:pPr>
          </w:p>
        </w:tc>
      </w:tr>
      <w:tr w:rsidR="00CE3825" w:rsidTr="0017159B">
        <w:tc>
          <w:tcPr>
            <w:tcW w:w="2127" w:type="dxa"/>
            <w:vAlign w:val="bottom"/>
          </w:tcPr>
          <w:p w:rsidR="00CE3825" w:rsidRDefault="002065BE">
            <w:pPr>
              <w:widowControl w:val="0"/>
              <w:spacing w:before="40" w:line="360" w:lineRule="auto"/>
            </w:pPr>
            <w:r>
              <w:t>C.F.</w:t>
            </w:r>
          </w:p>
        </w:tc>
        <w:tc>
          <w:tcPr>
            <w:tcW w:w="6803" w:type="dxa"/>
            <w:gridSpan w:val="4"/>
            <w:vAlign w:val="bottom"/>
          </w:tcPr>
          <w:p w:rsidR="00CE3825" w:rsidRDefault="00CE3825">
            <w:pPr>
              <w:widowControl w:val="0"/>
              <w:spacing w:before="40" w:line="360" w:lineRule="auto"/>
              <w:rPr>
                <w:b/>
              </w:rPr>
            </w:pPr>
          </w:p>
        </w:tc>
      </w:tr>
      <w:tr w:rsidR="00CE3825" w:rsidTr="0017159B">
        <w:tc>
          <w:tcPr>
            <w:tcW w:w="8930" w:type="dxa"/>
            <w:gridSpan w:val="5"/>
            <w:vAlign w:val="bottom"/>
          </w:tcPr>
          <w:p w:rsidR="00CE3825" w:rsidRDefault="002065BE">
            <w:pPr>
              <w:widowControl w:val="0"/>
              <w:spacing w:before="40" w:line="360" w:lineRule="auto"/>
            </w:pPr>
            <w:r>
              <w:t>in qualità di titolare/legale rappresentante dell’impresa/società</w:t>
            </w:r>
          </w:p>
        </w:tc>
      </w:tr>
      <w:tr w:rsidR="00CE3825" w:rsidTr="0017159B">
        <w:tc>
          <w:tcPr>
            <w:tcW w:w="2127" w:type="dxa"/>
            <w:vAlign w:val="bottom"/>
          </w:tcPr>
          <w:p w:rsidR="00CE3825" w:rsidRDefault="002065BE">
            <w:pPr>
              <w:widowControl w:val="0"/>
              <w:spacing w:before="40" w:line="360" w:lineRule="auto"/>
            </w:pPr>
            <w:r>
              <w:t>denominazione</w:t>
            </w:r>
          </w:p>
        </w:tc>
        <w:tc>
          <w:tcPr>
            <w:tcW w:w="6803" w:type="dxa"/>
            <w:gridSpan w:val="4"/>
            <w:vAlign w:val="bottom"/>
          </w:tcPr>
          <w:p w:rsidR="00CE3825" w:rsidRDefault="00CE3825">
            <w:pPr>
              <w:widowControl w:val="0"/>
              <w:spacing w:before="40" w:line="360" w:lineRule="auto"/>
              <w:rPr>
                <w:b/>
              </w:rPr>
            </w:pPr>
          </w:p>
        </w:tc>
      </w:tr>
      <w:tr w:rsidR="00CE3825" w:rsidTr="0017159B">
        <w:tc>
          <w:tcPr>
            <w:tcW w:w="3118" w:type="dxa"/>
            <w:gridSpan w:val="2"/>
            <w:vAlign w:val="bottom"/>
          </w:tcPr>
          <w:p w:rsidR="00CE3825" w:rsidRDefault="002065BE">
            <w:pPr>
              <w:widowControl w:val="0"/>
              <w:spacing w:before="40" w:line="360" w:lineRule="auto"/>
            </w:pPr>
            <w:r>
              <w:t>iscritta al Registro Imprese di</w:t>
            </w:r>
          </w:p>
        </w:tc>
        <w:tc>
          <w:tcPr>
            <w:tcW w:w="5812" w:type="dxa"/>
            <w:gridSpan w:val="3"/>
            <w:vAlign w:val="bottom"/>
          </w:tcPr>
          <w:p w:rsidR="00CE3825" w:rsidRDefault="00CE3825">
            <w:pPr>
              <w:widowControl w:val="0"/>
              <w:spacing w:before="40" w:line="360" w:lineRule="auto"/>
              <w:rPr>
                <w:b/>
              </w:rPr>
            </w:pPr>
          </w:p>
        </w:tc>
      </w:tr>
      <w:tr w:rsidR="00CE3825" w:rsidTr="0017159B">
        <w:tc>
          <w:tcPr>
            <w:tcW w:w="2127" w:type="dxa"/>
            <w:vAlign w:val="bottom"/>
          </w:tcPr>
          <w:p w:rsidR="00CE3825" w:rsidRDefault="002065BE">
            <w:pPr>
              <w:widowControl w:val="0"/>
              <w:spacing w:before="40" w:line="360" w:lineRule="auto"/>
            </w:pPr>
            <w:r>
              <w:t>P.IVA</w:t>
            </w:r>
          </w:p>
        </w:tc>
        <w:tc>
          <w:tcPr>
            <w:tcW w:w="6803" w:type="dxa"/>
            <w:gridSpan w:val="4"/>
            <w:vAlign w:val="bottom"/>
          </w:tcPr>
          <w:p w:rsidR="00CE3825" w:rsidRDefault="00CE3825">
            <w:pPr>
              <w:widowControl w:val="0"/>
              <w:spacing w:before="40" w:line="360" w:lineRule="auto"/>
              <w:rPr>
                <w:b/>
              </w:rPr>
            </w:pPr>
          </w:p>
        </w:tc>
      </w:tr>
      <w:tr w:rsidR="00CE3825" w:rsidTr="0017159B">
        <w:tc>
          <w:tcPr>
            <w:tcW w:w="2127" w:type="dxa"/>
            <w:vAlign w:val="bottom"/>
          </w:tcPr>
          <w:p w:rsidR="00CE3825" w:rsidRDefault="002065BE">
            <w:pPr>
              <w:widowControl w:val="0"/>
              <w:spacing w:before="40" w:line="360" w:lineRule="auto"/>
            </w:pPr>
            <w:r>
              <w:t>numero REA</w:t>
            </w:r>
          </w:p>
        </w:tc>
        <w:tc>
          <w:tcPr>
            <w:tcW w:w="6803" w:type="dxa"/>
            <w:gridSpan w:val="4"/>
            <w:vAlign w:val="bottom"/>
          </w:tcPr>
          <w:p w:rsidR="00CE3825" w:rsidRDefault="00CE3825">
            <w:pPr>
              <w:widowControl w:val="0"/>
              <w:spacing w:before="40" w:line="360" w:lineRule="auto"/>
              <w:rPr>
                <w:b/>
              </w:rPr>
            </w:pPr>
          </w:p>
        </w:tc>
      </w:tr>
      <w:tr w:rsidR="00CE3825" w:rsidTr="0017159B">
        <w:tc>
          <w:tcPr>
            <w:tcW w:w="2127" w:type="dxa"/>
            <w:vAlign w:val="bottom"/>
          </w:tcPr>
          <w:p w:rsidR="00CE3825" w:rsidRDefault="002065BE">
            <w:pPr>
              <w:widowControl w:val="0"/>
              <w:spacing w:before="40" w:line="360" w:lineRule="auto"/>
            </w:pPr>
            <w:r>
              <w:t>con sede in via</w:t>
            </w:r>
          </w:p>
        </w:tc>
        <w:tc>
          <w:tcPr>
            <w:tcW w:w="4196" w:type="dxa"/>
            <w:gridSpan w:val="2"/>
            <w:vAlign w:val="bottom"/>
          </w:tcPr>
          <w:p w:rsidR="00CE3825" w:rsidRDefault="00CE3825">
            <w:pPr>
              <w:widowControl w:val="0"/>
              <w:spacing w:before="40" w:line="360" w:lineRule="auto"/>
            </w:pPr>
          </w:p>
        </w:tc>
        <w:tc>
          <w:tcPr>
            <w:tcW w:w="683" w:type="dxa"/>
            <w:vAlign w:val="bottom"/>
          </w:tcPr>
          <w:p w:rsidR="00CE3825" w:rsidRDefault="002065BE">
            <w:pPr>
              <w:widowControl w:val="0"/>
              <w:spacing w:before="40" w:line="360" w:lineRule="auto"/>
            </w:pPr>
            <w:r>
              <w:t>n.</w:t>
            </w:r>
          </w:p>
        </w:tc>
        <w:tc>
          <w:tcPr>
            <w:tcW w:w="1924" w:type="dxa"/>
            <w:vAlign w:val="bottom"/>
          </w:tcPr>
          <w:p w:rsidR="00CE3825" w:rsidRDefault="00CE3825">
            <w:pPr>
              <w:widowControl w:val="0"/>
              <w:spacing w:before="40" w:line="360" w:lineRule="auto"/>
            </w:pPr>
          </w:p>
        </w:tc>
      </w:tr>
      <w:tr w:rsidR="00CE3825" w:rsidTr="0017159B">
        <w:tc>
          <w:tcPr>
            <w:tcW w:w="2127" w:type="dxa"/>
            <w:vAlign w:val="bottom"/>
          </w:tcPr>
          <w:p w:rsidR="00CE3825" w:rsidRDefault="002065BE">
            <w:pPr>
              <w:widowControl w:val="0"/>
              <w:spacing w:before="40" w:line="360" w:lineRule="auto"/>
            </w:pPr>
            <w:r>
              <w:t>città</w:t>
            </w:r>
          </w:p>
        </w:tc>
        <w:tc>
          <w:tcPr>
            <w:tcW w:w="4196" w:type="dxa"/>
            <w:gridSpan w:val="2"/>
            <w:vAlign w:val="bottom"/>
          </w:tcPr>
          <w:p w:rsidR="00CE3825" w:rsidRDefault="00CE3825">
            <w:pPr>
              <w:widowControl w:val="0"/>
              <w:spacing w:before="40" w:line="360" w:lineRule="auto"/>
            </w:pPr>
          </w:p>
        </w:tc>
        <w:tc>
          <w:tcPr>
            <w:tcW w:w="683" w:type="dxa"/>
            <w:vAlign w:val="bottom"/>
          </w:tcPr>
          <w:p w:rsidR="00CE3825" w:rsidRDefault="002065BE">
            <w:pPr>
              <w:widowControl w:val="0"/>
              <w:spacing w:before="40" w:line="360" w:lineRule="auto"/>
            </w:pPr>
            <w:r>
              <w:t>CAP</w:t>
            </w:r>
          </w:p>
        </w:tc>
        <w:tc>
          <w:tcPr>
            <w:tcW w:w="1924" w:type="dxa"/>
            <w:vAlign w:val="bottom"/>
          </w:tcPr>
          <w:p w:rsidR="00CE3825" w:rsidRDefault="00CE3825">
            <w:pPr>
              <w:widowControl w:val="0"/>
              <w:spacing w:before="40" w:line="360" w:lineRule="auto"/>
            </w:pPr>
          </w:p>
        </w:tc>
      </w:tr>
    </w:tbl>
    <w:p w:rsidR="00CE3825" w:rsidRDefault="00CE3825"/>
    <w:p w:rsidR="002065BE" w:rsidRDefault="002065BE" w:rsidP="002065BE">
      <w:pPr>
        <w:spacing w:line="276" w:lineRule="auto"/>
        <w:jc w:val="both"/>
        <w:rPr>
          <w:iCs/>
          <w:color w:val="000000"/>
        </w:rPr>
      </w:pPr>
      <w:r>
        <w:rPr>
          <w:iCs/>
          <w:color w:val="000000"/>
        </w:rPr>
        <w:t xml:space="preserve">con riferimento al bando in oggetto, </w:t>
      </w:r>
    </w:p>
    <w:p w:rsidR="002065BE" w:rsidRDefault="002065BE"/>
    <w:p w:rsidR="002065BE" w:rsidRDefault="002065BE">
      <w:pPr>
        <w:spacing w:line="276" w:lineRule="auto"/>
        <w:jc w:val="both"/>
        <w:rPr>
          <w:iCs/>
        </w:rPr>
      </w:pPr>
      <w:r>
        <w:rPr>
          <w:iCs/>
        </w:rPr>
        <w:t xml:space="preserve">ai sensi della Delibera AGCM del 14 novembre 2012, n. 24075 e </w:t>
      </w:r>
      <w:proofErr w:type="spellStart"/>
      <w:r>
        <w:rPr>
          <w:iCs/>
        </w:rPr>
        <w:t>s.m.i.</w:t>
      </w:r>
      <w:proofErr w:type="spellEnd"/>
      <w:r>
        <w:rPr>
          <w:iCs/>
        </w:rPr>
        <w:t>, “Regolamento attuativo in materia di rating</w:t>
      </w:r>
      <w:r>
        <w:rPr>
          <w:i/>
          <w:iCs/>
        </w:rPr>
        <w:t xml:space="preserve"> </w:t>
      </w:r>
      <w:r>
        <w:rPr>
          <w:iCs/>
        </w:rPr>
        <w:t xml:space="preserve">di legalità”, e del Decreto MEF-MISE 20 febbraio 2014, n. 57, “Regolamento concernente l’individuazione delle modalità in base alle quali si tiene conto del rating di legalità attribuito alle imprese ai fini della concessione di finanziamenti”, </w:t>
      </w:r>
    </w:p>
    <w:p w:rsidR="002065BE" w:rsidRDefault="002065BE">
      <w:pPr>
        <w:spacing w:line="276" w:lineRule="auto"/>
        <w:jc w:val="both"/>
      </w:pPr>
    </w:p>
    <w:p w:rsidR="00CE3825" w:rsidRPr="002065BE" w:rsidRDefault="002065BE">
      <w:pPr>
        <w:spacing w:line="276" w:lineRule="auto"/>
        <w:jc w:val="both"/>
        <w:rPr>
          <w:b/>
        </w:rPr>
      </w:pPr>
      <w:r w:rsidRPr="002065BE">
        <w:rPr>
          <w:b/>
        </w:rPr>
        <w:t xml:space="preserve">consapevole delle sanzioni penali previste dall’art. 76 del D.P.R. 445/2000, nel caso di dichiarazioni mendaci, falsità negli atti, uso o esibizione di atti falsi o contenenti dati non più rispondenti a verità, </w:t>
      </w:r>
      <w:r w:rsidRPr="002065BE">
        <w:rPr>
          <w:b/>
          <w:iCs/>
          <w:color w:val="000000"/>
        </w:rPr>
        <w:t xml:space="preserve">ai sensi degli artt. 46 e 47 del D.P.R. </w:t>
      </w:r>
    </w:p>
    <w:p w:rsidR="00CE3825" w:rsidRPr="002065BE" w:rsidRDefault="00CE3825">
      <w:pPr>
        <w:spacing w:line="276" w:lineRule="auto"/>
        <w:rPr>
          <w:b/>
          <w:iCs/>
        </w:rPr>
      </w:pPr>
    </w:p>
    <w:p w:rsidR="00CE3825" w:rsidRDefault="002065BE">
      <w:pPr>
        <w:spacing w:line="276" w:lineRule="auto"/>
        <w:jc w:val="center"/>
        <w:rPr>
          <w:b/>
          <w:bCs/>
        </w:rPr>
      </w:pPr>
      <w:r>
        <w:rPr>
          <w:b/>
          <w:bCs/>
        </w:rPr>
        <w:t>DICHIARA</w:t>
      </w:r>
    </w:p>
    <w:p w:rsidR="00CE3825" w:rsidRDefault="00CE3825">
      <w:pPr>
        <w:spacing w:line="276" w:lineRule="auto"/>
        <w:jc w:val="center"/>
        <w:rPr>
          <w:b/>
          <w:bCs/>
        </w:rPr>
      </w:pPr>
    </w:p>
    <w:p w:rsidR="00CE3825" w:rsidRDefault="002065BE">
      <w:pPr>
        <w:spacing w:line="276" w:lineRule="auto"/>
        <w:jc w:val="both"/>
        <w:rPr>
          <w:iCs/>
        </w:rPr>
      </w:pPr>
      <w:r>
        <w:rPr>
          <w:iCs/>
        </w:rPr>
        <w:t>che all’impresa indicata è stato attribuito il rating di legalità con almeno il punteggio base (una “stelletta”) previsto dall’art. 3 della citata Delibera AGCM e che il rating è ancora valido (non risulta scaduto, sospeso o revocato).</w:t>
      </w:r>
    </w:p>
    <w:p w:rsidR="002065BE" w:rsidRPr="002065BE" w:rsidRDefault="002065BE" w:rsidP="002065BE">
      <w:pPr>
        <w:suppressAutoHyphens w:val="0"/>
        <w:autoSpaceDE w:val="0"/>
        <w:autoSpaceDN w:val="0"/>
        <w:adjustRightInd w:val="0"/>
        <w:rPr>
          <w:rFonts w:ascii="Calibri" w:eastAsiaTheme="minorHAnsi" w:hAnsi="Calibri" w:cs="Calibri"/>
          <w:color w:val="000000"/>
          <w:lang w:eastAsia="en-US"/>
        </w:rPr>
      </w:pPr>
    </w:p>
    <w:p w:rsidR="002065BE" w:rsidRDefault="002065BE" w:rsidP="002065BE">
      <w:pPr>
        <w:suppressAutoHyphens w:val="0"/>
        <w:autoSpaceDE w:val="0"/>
        <w:autoSpaceDN w:val="0"/>
        <w:adjustRightInd w:val="0"/>
        <w:jc w:val="center"/>
        <w:rPr>
          <w:rFonts w:ascii="Calibri" w:eastAsiaTheme="minorHAnsi" w:hAnsi="Calibri" w:cs="Calibri"/>
          <w:b/>
          <w:bCs/>
          <w:color w:val="000000"/>
          <w:sz w:val="22"/>
          <w:szCs w:val="22"/>
          <w:lang w:eastAsia="en-US"/>
        </w:rPr>
      </w:pPr>
      <w:r w:rsidRPr="002065BE">
        <w:rPr>
          <w:rFonts w:ascii="Calibri" w:eastAsiaTheme="minorHAnsi" w:hAnsi="Calibri" w:cs="Calibri"/>
          <w:b/>
          <w:bCs/>
          <w:color w:val="000000"/>
          <w:sz w:val="22"/>
          <w:szCs w:val="22"/>
          <w:lang w:eastAsia="en-US"/>
        </w:rPr>
        <w:t>INOLTRE SI IMPEGNA:</w:t>
      </w:r>
    </w:p>
    <w:p w:rsidR="002065BE" w:rsidRPr="002065BE" w:rsidRDefault="002065BE" w:rsidP="002065BE">
      <w:pPr>
        <w:suppressAutoHyphens w:val="0"/>
        <w:autoSpaceDE w:val="0"/>
        <w:autoSpaceDN w:val="0"/>
        <w:adjustRightInd w:val="0"/>
        <w:jc w:val="center"/>
        <w:rPr>
          <w:rFonts w:ascii="Calibri" w:eastAsiaTheme="minorHAnsi" w:hAnsi="Calibri" w:cs="Calibri"/>
          <w:color w:val="000000"/>
          <w:sz w:val="22"/>
          <w:szCs w:val="22"/>
          <w:lang w:eastAsia="en-US"/>
        </w:rPr>
      </w:pPr>
    </w:p>
    <w:p w:rsidR="002065BE" w:rsidRPr="002065BE" w:rsidRDefault="002065BE" w:rsidP="002065BE">
      <w:pPr>
        <w:spacing w:line="276" w:lineRule="auto"/>
        <w:rPr>
          <w:iCs/>
        </w:rPr>
      </w:pPr>
      <w:r w:rsidRPr="002065BE">
        <w:rPr>
          <w:rFonts w:ascii="Calibri" w:eastAsiaTheme="minorHAnsi" w:hAnsi="Calibri" w:cs="Calibri"/>
          <w:color w:val="000000"/>
          <w:sz w:val="22"/>
          <w:szCs w:val="22"/>
          <w:lang w:eastAsia="en-US"/>
        </w:rPr>
        <w:t xml:space="preserve">a </w:t>
      </w:r>
      <w:r w:rsidRPr="002065BE">
        <w:rPr>
          <w:iCs/>
        </w:rPr>
        <w:t>comunicare alla Camera di commercio di Brindisi l’eventuale revoca o sospensione del rating di legalità che fosse disposta nei confronti dell’impresa nel periodo intercorrente tra la data della richiesta di agevolazione e la data dell’erogazione della stessa.</w:t>
      </w:r>
    </w:p>
    <w:p w:rsidR="00850545" w:rsidRDefault="00850545">
      <w:pPr>
        <w:widowControl w:val="0"/>
        <w:tabs>
          <w:tab w:val="left" w:pos="426"/>
        </w:tabs>
        <w:spacing w:line="276" w:lineRule="auto"/>
        <w:jc w:val="both"/>
        <w:rPr>
          <w:color w:val="000000"/>
        </w:rPr>
      </w:pPr>
    </w:p>
    <w:p w:rsidR="00CE3825" w:rsidRDefault="00CE3825">
      <w:pPr>
        <w:widowControl w:val="0"/>
        <w:tabs>
          <w:tab w:val="left" w:pos="426"/>
        </w:tabs>
        <w:spacing w:line="276" w:lineRule="auto"/>
        <w:jc w:val="both"/>
        <w:rPr>
          <w:rFonts w:eastAsia="Calibri"/>
          <w:lang w:eastAsia="en-US"/>
        </w:rPr>
      </w:pPr>
    </w:p>
    <w:p w:rsidR="00CE3825" w:rsidRDefault="002065BE">
      <w:pPr>
        <w:pStyle w:val="NormaleWeb"/>
        <w:spacing w:beforeAutospacing="0" w:afterAutospacing="0"/>
        <w:jc w:val="both"/>
        <w:rPr>
          <w:b/>
          <w:bCs/>
          <w:sz w:val="16"/>
          <w:szCs w:val="18"/>
        </w:rPr>
      </w:pPr>
      <w:r>
        <w:rPr>
          <w:b/>
          <w:bCs/>
          <w:sz w:val="16"/>
          <w:szCs w:val="18"/>
        </w:rPr>
        <w:t>INFORMATIVA AI SENSI DEGLI ARTICOLI 13 E 14 DEL REGOLAMENTO UE 2016/679 (GDPR)</w:t>
      </w:r>
    </w:p>
    <w:p w:rsidR="00CE3825" w:rsidRDefault="002065BE">
      <w:pPr>
        <w:pStyle w:val="Paragrafoelenco"/>
        <w:numPr>
          <w:ilvl w:val="0"/>
          <w:numId w:val="3"/>
        </w:numPr>
        <w:ind w:left="284" w:hanging="284"/>
        <w:jc w:val="both"/>
        <w:rPr>
          <w:rFonts w:eastAsia="MS Mincho"/>
          <w:sz w:val="16"/>
          <w:szCs w:val="16"/>
        </w:rPr>
      </w:pPr>
      <w:r>
        <w:rPr>
          <w:rFonts w:eastAsia="MS Mincho"/>
          <w:sz w:val="16"/>
          <w:szCs w:val="16"/>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w:t>
      </w:r>
      <w:r>
        <w:rPr>
          <w:rFonts w:eastAsia="MS Mincho"/>
          <w:sz w:val="16"/>
          <w:szCs w:val="16"/>
        </w:rPr>
        <w:lastRenderedPageBreak/>
        <w:t xml:space="preserve">seguito GDPR), la Camera di Commercio Industria ed Artigianato di </w:t>
      </w:r>
      <w:r>
        <w:rPr>
          <w:sz w:val="16"/>
          <w:szCs w:val="16"/>
        </w:rPr>
        <w:t>Brindisi</w:t>
      </w:r>
      <w:r>
        <w:rPr>
          <w:rFonts w:eastAsia="MS Mincho"/>
          <w:sz w:val="16"/>
          <w:szCs w:val="16"/>
        </w:rPr>
        <w:t xml:space="preserve"> intende informarLa sulle modalità del trattamento dei dati personali acquisiti ai fini della presentazione e gestione della domanda di contributo. </w:t>
      </w:r>
    </w:p>
    <w:p w:rsidR="00CE3825" w:rsidRDefault="002065BE">
      <w:pPr>
        <w:pStyle w:val="Paragrafoelenco"/>
        <w:numPr>
          <w:ilvl w:val="0"/>
          <w:numId w:val="1"/>
        </w:numPr>
        <w:ind w:left="284" w:hanging="284"/>
        <w:jc w:val="both"/>
        <w:rPr>
          <w:rFonts w:eastAsia="MS Mincho"/>
          <w:sz w:val="16"/>
          <w:szCs w:val="16"/>
        </w:rPr>
      </w:pPr>
      <w:r>
        <w:rPr>
          <w:rFonts w:eastAsia="MS Mincho"/>
          <w:b/>
          <w:sz w:val="16"/>
          <w:szCs w:val="16"/>
        </w:rPr>
        <w:t>Finalità del trattamento e base giuridica</w:t>
      </w:r>
      <w:r>
        <w:rPr>
          <w:rFonts w:eastAsia="MS Mincho"/>
          <w:sz w:val="16"/>
          <w:szCs w:val="16"/>
        </w:rPr>
        <w:t>: i dati conferiti saranno trattati esclusivamente per le finalità e sulla base dei presupposti giuridici per il trattamento (adempimento di un obbligo legale al quale è soggetto il Titolare, ex art. 6, par. 1, lett. c del GDPR) di cui all’art. 1 del presente Bando. Tali finalità comprendono:</w:t>
      </w:r>
    </w:p>
    <w:p w:rsidR="00CE3825" w:rsidRDefault="002065BE">
      <w:pPr>
        <w:pStyle w:val="Paragrafoelenco"/>
        <w:numPr>
          <w:ilvl w:val="1"/>
          <w:numId w:val="1"/>
        </w:numPr>
        <w:ind w:left="567" w:hanging="284"/>
        <w:jc w:val="both"/>
        <w:rPr>
          <w:rFonts w:eastAsia="MS Mincho"/>
          <w:sz w:val="16"/>
          <w:szCs w:val="16"/>
        </w:rPr>
      </w:pPr>
      <w:r>
        <w:rPr>
          <w:rFonts w:eastAsia="MS Mincho"/>
          <w:sz w:val="16"/>
          <w:szCs w:val="16"/>
        </w:rPr>
        <w:t>le fasi di istruttoria, amministrativa e di merito, delle domande, comprese le verifiche sulle dichiarazioni rese;</w:t>
      </w:r>
    </w:p>
    <w:p w:rsidR="00CE3825" w:rsidRDefault="002065BE">
      <w:pPr>
        <w:pStyle w:val="Paragrafoelenco"/>
        <w:numPr>
          <w:ilvl w:val="1"/>
          <w:numId w:val="1"/>
        </w:numPr>
        <w:ind w:left="567" w:hanging="284"/>
        <w:jc w:val="both"/>
        <w:rPr>
          <w:rFonts w:eastAsia="MS Mincho"/>
          <w:sz w:val="16"/>
          <w:szCs w:val="16"/>
        </w:rPr>
      </w:pPr>
      <w:r>
        <w:rPr>
          <w:rFonts w:eastAsia="MS Mincho"/>
          <w:sz w:val="16"/>
          <w:szCs w:val="16"/>
        </w:rPr>
        <w:t>l’analisi delle rendicontazioni effettuate ai fini della liquidazione dei voucher.</w:t>
      </w:r>
    </w:p>
    <w:p w:rsidR="00CE3825" w:rsidRDefault="002065BE">
      <w:pPr>
        <w:ind w:left="284" w:hanging="1"/>
        <w:jc w:val="both"/>
        <w:rPr>
          <w:rFonts w:eastAsia="MS Mincho"/>
          <w:sz w:val="16"/>
          <w:szCs w:val="16"/>
        </w:rPr>
      </w:pPr>
      <w:r>
        <w:rPr>
          <w:rFonts w:eastAsia="MS Mincho"/>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CE3825" w:rsidRDefault="002065BE">
      <w:pPr>
        <w:pStyle w:val="Paragrafoelenco"/>
        <w:numPr>
          <w:ilvl w:val="0"/>
          <w:numId w:val="1"/>
        </w:numPr>
        <w:ind w:left="284" w:hanging="284"/>
        <w:jc w:val="both"/>
        <w:rPr>
          <w:rFonts w:eastAsia="MS Mincho"/>
          <w:sz w:val="16"/>
          <w:szCs w:val="16"/>
        </w:rPr>
      </w:pPr>
      <w:r>
        <w:rPr>
          <w:rFonts w:eastAsia="MS Mincho"/>
          <w:b/>
          <w:sz w:val="16"/>
          <w:szCs w:val="16"/>
        </w:rPr>
        <w:t>Obbligatorietà del conferimento dei dati</w:t>
      </w:r>
      <w:r>
        <w:rPr>
          <w:rFonts w:eastAsia="MS Mincho"/>
          <w:sz w:val="16"/>
          <w:szCs w:val="16"/>
        </w:rPr>
        <w:t xml:space="preserve">: il conferimento dei dati personali da parte del beneficiario costituisce presupposto indispensabile per lo svolgimento delle attività previste dal </w:t>
      </w:r>
      <w:r w:rsidR="00D00213">
        <w:rPr>
          <w:rFonts w:eastAsia="MS Mincho"/>
          <w:sz w:val="16"/>
          <w:szCs w:val="16"/>
        </w:rPr>
        <w:t>Progetto Formazione e Lavoro</w:t>
      </w:r>
      <w:r>
        <w:rPr>
          <w:rFonts w:eastAsia="MS Mincho"/>
          <w:b/>
          <w:bCs/>
          <w:sz w:val="16"/>
          <w:szCs w:val="16"/>
        </w:rPr>
        <w:t xml:space="preserve"> </w:t>
      </w:r>
      <w:r>
        <w:rPr>
          <w:rFonts w:eastAsia="MS Mincho"/>
          <w:sz w:val="16"/>
          <w:szCs w:val="16"/>
        </w:rPr>
        <w:t xml:space="preserve">con particolare riferimento alla presentazione della domanda di contributo ed alla corretta gestione amministrativa e della corrispondenza nonché per finalità strettamente connesse all’adempimento degli obblighi di legge, contabili e fiscali. Il loro mancato conferimento </w:t>
      </w:r>
      <w:r>
        <w:rPr>
          <w:sz w:val="16"/>
          <w:szCs w:val="16"/>
        </w:rPr>
        <w:t>comporta</w:t>
      </w:r>
      <w:r>
        <w:rPr>
          <w:rFonts w:eastAsia="MS Mincho"/>
          <w:sz w:val="16"/>
          <w:szCs w:val="16"/>
        </w:rPr>
        <w:t xml:space="preserve"> l’impossibilità di ottenere quanto richiesto o la concessione del contributo richiesto.</w:t>
      </w:r>
    </w:p>
    <w:p w:rsidR="00CE3825" w:rsidRDefault="002065BE">
      <w:pPr>
        <w:pStyle w:val="Paragrafoelenco"/>
        <w:numPr>
          <w:ilvl w:val="0"/>
          <w:numId w:val="1"/>
        </w:numPr>
        <w:ind w:left="284" w:hanging="284"/>
        <w:jc w:val="both"/>
        <w:rPr>
          <w:rFonts w:eastAsia="MS Mincho"/>
          <w:sz w:val="16"/>
          <w:szCs w:val="16"/>
        </w:rPr>
      </w:pPr>
      <w:r>
        <w:rPr>
          <w:b/>
          <w:sz w:val="16"/>
          <w:szCs w:val="16"/>
        </w:rPr>
        <w:t>Soggetti autorizzati al trattamento, modalità del trattamento, comunicazione e diffusione</w:t>
      </w:r>
      <w:r>
        <w:rPr>
          <w:sz w:val="16"/>
          <w:szCs w:val="16"/>
        </w:rPr>
        <w:t>:</w:t>
      </w:r>
      <w:r>
        <w:rPr>
          <w:b/>
          <w:sz w:val="16"/>
          <w:szCs w:val="16"/>
        </w:rPr>
        <w:t xml:space="preserve"> </w:t>
      </w:r>
      <w:r>
        <w:rPr>
          <w:sz w:val="16"/>
          <w:szCs w:val="16"/>
        </w:rPr>
        <w:t>i dati acquisiti saranno trattati, oltre che da soggetti appositamente autorizzati dalla Camera di commercio (comprese le persone fisiche componenti i Nuclei di valutazione di cui all’art. 11) anche da Società del Sistema camerale appositamente incaricate e nominate Responsabili esterni del trattamento ai sensi dell’art. 28 del GDPR.</w:t>
      </w:r>
    </w:p>
    <w:p w:rsidR="00CE3825" w:rsidRDefault="002065BE">
      <w:pPr>
        <w:pStyle w:val="Paragrafoelenco"/>
        <w:ind w:left="284"/>
        <w:jc w:val="both"/>
        <w:rPr>
          <w:rFonts w:eastAsia="MS Mincho"/>
          <w:sz w:val="16"/>
          <w:szCs w:val="16"/>
        </w:rPr>
      </w:pPr>
      <w:r>
        <w:rPr>
          <w:sz w:val="16"/>
          <w:szCs w:val="16"/>
        </w:rPr>
        <w:t>I dati saranno raccolti, utilizzati e trattati con modalità manuali, informatiche e telematiche secondo principi di correttezza e liceità ed adottando s</w:t>
      </w:r>
      <w:r>
        <w:rPr>
          <w:rFonts w:eastAsia="MS Mincho"/>
          <w:sz w:val="16"/>
          <w:szCs w:val="16"/>
        </w:rPr>
        <w:t>pecifiche misure di sicurezza per prevenire la perdita dei dati, usi illeciti o non corretti ed accessi non autorizzati.</w:t>
      </w:r>
    </w:p>
    <w:p w:rsidR="00CE3825" w:rsidRDefault="002065BE">
      <w:pPr>
        <w:pStyle w:val="Paragrafoelenco"/>
        <w:ind w:left="284"/>
        <w:jc w:val="both"/>
        <w:rPr>
          <w:rFonts w:eastAsia="MS Mincho"/>
          <w:sz w:val="16"/>
          <w:szCs w:val="16"/>
        </w:rPr>
      </w:pPr>
      <w:r>
        <w:rPr>
          <w:sz w:val="16"/>
          <w:szCs w:val="16"/>
        </w:rPr>
        <w:t>Alcuni dati potranno essere comunicati ad Enti Pubblici ed Autorità di controllo in sede di verifica delle dichiarazioni rese, e sottoposti a diffusione mediante pubblicazione sul sito camerale in adempimento degli obblighi di trasparenza</w:t>
      </w:r>
      <w:r>
        <w:rPr>
          <w:rFonts w:eastAsia="MS Mincho"/>
          <w:sz w:val="16"/>
          <w:szCs w:val="16"/>
        </w:rPr>
        <w:t xml:space="preserve"> ai sensi del D.lgs. 14 marzo 2013, n. 33. Resta fermo l’obbligo della CCIAA di comunicare i dati all’Autorità Giudiziaria, ogni qual volta venga inoltrata specifica richiesta al riguardo. </w:t>
      </w:r>
    </w:p>
    <w:p w:rsidR="00CE3825" w:rsidRDefault="002065BE">
      <w:pPr>
        <w:pStyle w:val="Paragrafoelenco"/>
        <w:numPr>
          <w:ilvl w:val="0"/>
          <w:numId w:val="1"/>
        </w:numPr>
        <w:ind w:left="284" w:hanging="284"/>
        <w:jc w:val="both"/>
        <w:rPr>
          <w:sz w:val="16"/>
          <w:szCs w:val="16"/>
        </w:rPr>
      </w:pPr>
      <w:r>
        <w:rPr>
          <w:b/>
          <w:sz w:val="16"/>
          <w:szCs w:val="16"/>
        </w:rPr>
        <w:t>Periodo di conservazione</w:t>
      </w:r>
      <w:r>
        <w:rPr>
          <w:sz w:val="16"/>
          <w:szCs w:val="16"/>
        </w:rPr>
        <w:t>:</w:t>
      </w:r>
      <w:r>
        <w:rPr>
          <w:b/>
          <w:sz w:val="16"/>
          <w:szCs w:val="16"/>
        </w:rPr>
        <w:t xml:space="preserve"> </w:t>
      </w:r>
      <w:r>
        <w:rPr>
          <w:sz w:val="16"/>
          <w:szCs w:val="16"/>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CE3825" w:rsidRDefault="002065BE">
      <w:pPr>
        <w:pStyle w:val="Paragrafoelenco"/>
        <w:numPr>
          <w:ilvl w:val="0"/>
          <w:numId w:val="1"/>
        </w:numPr>
        <w:ind w:left="284" w:hanging="284"/>
        <w:jc w:val="both"/>
        <w:rPr>
          <w:sz w:val="16"/>
          <w:szCs w:val="16"/>
        </w:rPr>
      </w:pPr>
      <w:r>
        <w:rPr>
          <w:rFonts w:eastAsia="MS Mincho"/>
          <w:b/>
          <w:sz w:val="16"/>
          <w:szCs w:val="16"/>
        </w:rPr>
        <w:t>Diritti degli interessati</w:t>
      </w:r>
      <w:r>
        <w:rPr>
          <w:rFonts w:eastAsia="MS Mincho"/>
          <w:sz w:val="16"/>
          <w:szCs w:val="16"/>
        </w:rPr>
        <w:t>:</w:t>
      </w:r>
      <w:r>
        <w:rPr>
          <w:rFonts w:eastAsia="MS Mincho"/>
          <w:b/>
          <w:sz w:val="16"/>
          <w:szCs w:val="16"/>
        </w:rPr>
        <w:t xml:space="preserve"> </w:t>
      </w:r>
      <w:r>
        <w:rPr>
          <w:rFonts w:eastAsia="MS Mincho"/>
          <w:sz w:val="16"/>
          <w:szCs w:val="16"/>
        </w:rPr>
        <w:t xml:space="preserve">ai sensi degli art. 13, comma 2, lettere (b) e (d) e 14, comma 2, lettere (d) e (e), nonché degli artt. 15, 16, 17, 18, e 21 del GDPR, i soggetti cui si riferiscono i dati personali hanno il diritto in qualunque momento di: </w:t>
      </w:r>
    </w:p>
    <w:p w:rsidR="00CE3825" w:rsidRDefault="002065BE">
      <w:pPr>
        <w:pStyle w:val="Paragrafoelenco"/>
        <w:numPr>
          <w:ilvl w:val="1"/>
          <w:numId w:val="1"/>
        </w:numPr>
        <w:ind w:left="567" w:hanging="284"/>
        <w:jc w:val="both"/>
        <w:rPr>
          <w:sz w:val="16"/>
          <w:szCs w:val="16"/>
        </w:rPr>
      </w:pPr>
      <w:r>
        <w:rPr>
          <w:rFonts w:eastAsia="MS Mincho"/>
          <w:sz w:val="16"/>
          <w:szCs w:val="16"/>
        </w:rPr>
        <w:t>chiedere al Titolare del trattamento l'accesso ai dati personali, la rettifica, l’integrazione, la cancellazione degli stessi</w:t>
      </w:r>
      <w:r>
        <w:rPr>
          <w:sz w:val="16"/>
          <w:szCs w:val="16"/>
        </w:rPr>
        <w:t xml:space="preserve"> (ove compatibile con gli obblighi di conservazione),</w:t>
      </w:r>
      <w:r>
        <w:rPr>
          <w:rFonts w:eastAsia="MS Mincho"/>
          <w:sz w:val="16"/>
          <w:szCs w:val="16"/>
        </w:rPr>
        <w:t xml:space="preserve"> la limitazione del trattamento dei dati che la riguardano o di opporsi al trattamento degli stessi qualora ricorrano i presupposti previsti dal GDPR; </w:t>
      </w:r>
    </w:p>
    <w:p w:rsidR="00CE3825" w:rsidRDefault="002065BE">
      <w:pPr>
        <w:pStyle w:val="Paragrafoelenco"/>
        <w:numPr>
          <w:ilvl w:val="1"/>
          <w:numId w:val="1"/>
        </w:numPr>
        <w:ind w:left="567" w:hanging="284"/>
        <w:jc w:val="both"/>
        <w:rPr>
          <w:sz w:val="16"/>
          <w:szCs w:val="16"/>
        </w:rPr>
      </w:pPr>
      <w:r>
        <w:rPr>
          <w:rFonts w:eastAsia="MS Mincho"/>
          <w:sz w:val="16"/>
          <w:szCs w:val="16"/>
        </w:rPr>
        <w:t>esercitare i diritti di cui alla lettera a) mediante la casella di posta cciaa@br.legalmail.camcom.it</w:t>
      </w:r>
      <w:r>
        <w:rPr>
          <w:sz w:val="16"/>
          <w:szCs w:val="16"/>
        </w:rPr>
        <w:t xml:space="preserve"> c</w:t>
      </w:r>
      <w:r>
        <w:rPr>
          <w:rFonts w:eastAsia="MS Mincho"/>
          <w:sz w:val="16"/>
          <w:szCs w:val="16"/>
        </w:rPr>
        <w:t>on idonea comunicazione;</w:t>
      </w:r>
    </w:p>
    <w:p w:rsidR="00CE3825" w:rsidRDefault="002065BE">
      <w:pPr>
        <w:pStyle w:val="Paragrafoelenco"/>
        <w:numPr>
          <w:ilvl w:val="1"/>
          <w:numId w:val="1"/>
        </w:numPr>
        <w:ind w:left="567" w:hanging="284"/>
        <w:jc w:val="both"/>
        <w:rPr>
          <w:sz w:val="16"/>
          <w:szCs w:val="16"/>
        </w:rPr>
      </w:pPr>
      <w:r>
        <w:rPr>
          <w:rFonts w:eastAsia="MS Mincho"/>
          <w:sz w:val="16"/>
          <w:szCs w:val="16"/>
        </w:rPr>
        <w:t xml:space="preserve">proporre un reclamo al Garante per la protezione dei dati personali, ex art. 77 del GDPR, seguendo le procedure e le indicazioni pubblicate sul sito web ufficiale dell’Autorità: </w:t>
      </w:r>
      <w:r>
        <w:rPr>
          <w:sz w:val="16"/>
          <w:szCs w:val="16"/>
        </w:rPr>
        <w:t>www.garanteprivacy.it</w:t>
      </w:r>
      <w:r>
        <w:rPr>
          <w:rFonts w:eastAsia="MS Mincho"/>
          <w:sz w:val="16"/>
          <w:szCs w:val="16"/>
        </w:rPr>
        <w:t xml:space="preserve">. </w:t>
      </w:r>
    </w:p>
    <w:p w:rsidR="00CE3825" w:rsidRPr="00850545" w:rsidRDefault="002065BE">
      <w:pPr>
        <w:pStyle w:val="Paragrafoelenco"/>
        <w:numPr>
          <w:ilvl w:val="0"/>
          <w:numId w:val="1"/>
        </w:numPr>
        <w:ind w:left="284" w:hanging="284"/>
        <w:jc w:val="both"/>
        <w:rPr>
          <w:rFonts w:eastAsia="MS Mincho"/>
          <w:sz w:val="16"/>
          <w:szCs w:val="16"/>
        </w:rPr>
      </w:pPr>
      <w:r>
        <w:rPr>
          <w:rFonts w:eastAsia="MS Mincho"/>
          <w:b/>
          <w:sz w:val="16"/>
          <w:szCs w:val="16"/>
        </w:rPr>
        <w:t>Titolare, Responsabile della Protezione dei Dati e relativi dati di contatto</w:t>
      </w:r>
      <w:r>
        <w:rPr>
          <w:rFonts w:eastAsia="MS Mincho"/>
          <w:sz w:val="16"/>
          <w:szCs w:val="16"/>
        </w:rPr>
        <w:t xml:space="preserve">: il titolare del trattamento dei dati è la CCIAA di </w:t>
      </w:r>
      <w:r>
        <w:rPr>
          <w:sz w:val="16"/>
          <w:szCs w:val="16"/>
        </w:rPr>
        <w:t xml:space="preserve">Brindisi </w:t>
      </w:r>
      <w:r>
        <w:rPr>
          <w:rFonts w:eastAsia="MS Mincho"/>
          <w:sz w:val="16"/>
          <w:szCs w:val="16"/>
        </w:rPr>
        <w:t>con sede legale in via</w:t>
      </w:r>
      <w:r>
        <w:rPr>
          <w:sz w:val="16"/>
          <w:szCs w:val="16"/>
        </w:rPr>
        <w:t xml:space="preserve"> Bastioni Carlo V n. 4, </w:t>
      </w:r>
      <w:r>
        <w:rPr>
          <w:rFonts w:eastAsia="MS Mincho"/>
          <w:sz w:val="16"/>
          <w:szCs w:val="16"/>
        </w:rPr>
        <w:t xml:space="preserve">P.I. e C.F. </w:t>
      </w:r>
      <w:r>
        <w:rPr>
          <w:sz w:val="16"/>
          <w:szCs w:val="16"/>
        </w:rPr>
        <w:t>00187930748,</w:t>
      </w:r>
      <w:r>
        <w:rPr>
          <w:rFonts w:eastAsia="MS Mincho"/>
          <w:sz w:val="16"/>
          <w:szCs w:val="16"/>
        </w:rPr>
        <w:t xml:space="preserve"> tel. 0831.228.111, e-mail segreteria.generale@br.camcom.it </w:t>
      </w:r>
      <w:proofErr w:type="spellStart"/>
      <w:r>
        <w:rPr>
          <w:rFonts w:eastAsia="MS Mincho"/>
          <w:sz w:val="16"/>
          <w:szCs w:val="16"/>
        </w:rPr>
        <w:t>pec</w:t>
      </w:r>
      <w:proofErr w:type="spellEnd"/>
      <w:r>
        <w:rPr>
          <w:rFonts w:eastAsia="MS Mincho"/>
          <w:sz w:val="16"/>
          <w:szCs w:val="16"/>
        </w:rPr>
        <w:t xml:space="preserve"> cciaa@br.legalmail.camcom.it, </w:t>
      </w:r>
      <w:r>
        <w:rPr>
          <w:sz w:val="16"/>
          <w:szCs w:val="16"/>
        </w:rPr>
        <w:t>la</w:t>
      </w:r>
      <w:r>
        <w:rPr>
          <w:rFonts w:eastAsia="MS Mincho"/>
          <w:sz w:val="16"/>
          <w:szCs w:val="16"/>
        </w:rPr>
        <w:t xml:space="preserve"> quale ha designato il Responsabile della Protezione dei Dati (RPD</w:t>
      </w:r>
      <w:r>
        <w:rPr>
          <w:sz w:val="16"/>
          <w:szCs w:val="16"/>
        </w:rPr>
        <w:t>),</w:t>
      </w:r>
      <w:r>
        <w:rPr>
          <w:rFonts w:eastAsia="MS Mincho"/>
          <w:sz w:val="16"/>
          <w:szCs w:val="16"/>
        </w:rPr>
        <w:t xml:space="preserve"> contattabile al seguente indirizzo e-mail: </w:t>
      </w:r>
      <w:r>
        <w:rPr>
          <w:sz w:val="16"/>
          <w:szCs w:val="16"/>
        </w:rPr>
        <w:t xml:space="preserve">dpo@br.legalmail.camcom.it, </w:t>
      </w:r>
      <w:hyperlink r:id="rId7" w:history="1">
        <w:r w:rsidR="00850545" w:rsidRPr="00497940">
          <w:rPr>
            <w:rStyle w:val="Collegamentoipertestuale"/>
            <w:sz w:val="16"/>
            <w:szCs w:val="16"/>
          </w:rPr>
          <w:t>dpo@br.camcom.it</w:t>
        </w:r>
      </w:hyperlink>
      <w:r>
        <w:rPr>
          <w:sz w:val="16"/>
          <w:szCs w:val="16"/>
        </w:rPr>
        <w:t>.</w:t>
      </w:r>
    </w:p>
    <w:p w:rsidR="00850545" w:rsidRDefault="00850545" w:rsidP="00850545">
      <w:pPr>
        <w:jc w:val="both"/>
        <w:rPr>
          <w:rFonts w:eastAsia="MS Mincho"/>
          <w:sz w:val="16"/>
          <w:szCs w:val="16"/>
        </w:rPr>
      </w:pPr>
    </w:p>
    <w:p w:rsidR="00850545" w:rsidRDefault="00850545" w:rsidP="00850545">
      <w:pPr>
        <w:jc w:val="both"/>
        <w:rPr>
          <w:rFonts w:eastAsia="MS Mincho"/>
          <w:sz w:val="16"/>
          <w:szCs w:val="16"/>
        </w:rPr>
      </w:pPr>
    </w:p>
    <w:p w:rsidR="00850545" w:rsidRDefault="00850545" w:rsidP="00850545">
      <w:pPr>
        <w:jc w:val="both"/>
        <w:rPr>
          <w:rFonts w:eastAsia="MS Mincho"/>
          <w:sz w:val="16"/>
          <w:szCs w:val="16"/>
        </w:rPr>
      </w:pPr>
    </w:p>
    <w:p w:rsidR="00850545" w:rsidRDefault="00850545" w:rsidP="00850545">
      <w:pPr>
        <w:jc w:val="both"/>
        <w:rPr>
          <w:rFonts w:eastAsia="MS Mincho"/>
          <w:sz w:val="16"/>
          <w:szCs w:val="16"/>
        </w:rPr>
      </w:pPr>
    </w:p>
    <w:p w:rsidR="00850545" w:rsidRDefault="00850545" w:rsidP="00850545">
      <w:pPr>
        <w:jc w:val="both"/>
        <w:rPr>
          <w:rFonts w:eastAsia="MS Mincho"/>
          <w:sz w:val="16"/>
          <w:szCs w:val="16"/>
        </w:rPr>
      </w:pPr>
    </w:p>
    <w:p w:rsidR="00850545" w:rsidRPr="00D92E12" w:rsidRDefault="00850545" w:rsidP="00850545">
      <w:pPr>
        <w:widowControl w:val="0"/>
        <w:tabs>
          <w:tab w:val="left" w:pos="426"/>
        </w:tabs>
        <w:spacing w:line="276" w:lineRule="auto"/>
        <w:jc w:val="both"/>
        <w:rPr>
          <w:color w:val="000000"/>
        </w:rPr>
      </w:pPr>
      <w:r w:rsidRPr="00D92E12">
        <w:rPr>
          <w:color w:val="000000"/>
        </w:rPr>
        <w:t>Data</w:t>
      </w:r>
    </w:p>
    <w:p w:rsidR="00850545" w:rsidRDefault="00850545" w:rsidP="00850545">
      <w:pPr>
        <w:ind w:left="5664"/>
        <w:rPr>
          <w:rFonts w:cs="Times-Roman"/>
        </w:rPr>
      </w:pPr>
      <w:r>
        <w:rPr>
          <w:rFonts w:cs="Times-Roman"/>
        </w:rPr>
        <w:t>IL DICHIARANTE</w:t>
      </w:r>
    </w:p>
    <w:p w:rsidR="00850545" w:rsidRDefault="00850545" w:rsidP="00850545">
      <w:pPr>
        <w:ind w:left="5664"/>
        <w:rPr>
          <w:rFonts w:cs="Times-Roman"/>
        </w:rPr>
      </w:pPr>
    </w:p>
    <w:p w:rsidR="00850545" w:rsidRDefault="00850545" w:rsidP="00850545">
      <w:pPr>
        <w:ind w:left="5664"/>
        <w:rPr>
          <w:rFonts w:cs="Times-Roman"/>
        </w:rPr>
      </w:pPr>
      <w:r>
        <w:rPr>
          <w:rFonts w:cs="Times-Roman"/>
        </w:rPr>
        <w:t>____________________</w:t>
      </w:r>
      <w:bookmarkStart w:id="0" w:name="_GoBack"/>
      <w:bookmarkEnd w:id="0"/>
    </w:p>
    <w:p w:rsidR="00850545" w:rsidRPr="00850545" w:rsidRDefault="00850545" w:rsidP="00850545">
      <w:pPr>
        <w:jc w:val="both"/>
        <w:rPr>
          <w:rFonts w:eastAsia="MS Mincho"/>
          <w:sz w:val="16"/>
          <w:szCs w:val="16"/>
        </w:rPr>
      </w:pPr>
    </w:p>
    <w:sectPr w:rsidR="00850545" w:rsidRPr="00850545" w:rsidSect="002065BE">
      <w:headerReference w:type="default" r:id="rId8"/>
      <w:headerReference w:type="first" r:id="rId9"/>
      <w:pgSz w:w="11906" w:h="16838"/>
      <w:pgMar w:top="1701" w:right="991" w:bottom="1701" w:left="153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C40" w:rsidRDefault="002065BE">
      <w:r>
        <w:separator/>
      </w:r>
    </w:p>
  </w:endnote>
  <w:endnote w:type="continuationSeparator" w:id="0">
    <w:p w:rsidR="00F23C40" w:rsidRDefault="0020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C40" w:rsidRDefault="002065BE">
      <w:r>
        <w:separator/>
      </w:r>
    </w:p>
  </w:footnote>
  <w:footnote w:type="continuationSeparator" w:id="0">
    <w:p w:rsidR="00F23C40" w:rsidRDefault="0020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1436" w:type="dxa"/>
      <w:tblInd w:w="108" w:type="dxa"/>
      <w:tblLayout w:type="fixed"/>
      <w:tblLook w:val="04A0" w:firstRow="1" w:lastRow="0" w:firstColumn="1" w:lastColumn="0" w:noHBand="0" w:noVBand="1"/>
    </w:tblPr>
    <w:tblGrid>
      <w:gridCol w:w="4111"/>
      <w:gridCol w:w="5103"/>
      <w:gridCol w:w="2222"/>
    </w:tblGrid>
    <w:tr w:rsidR="00CE3825" w:rsidTr="002065BE">
      <w:tc>
        <w:tcPr>
          <w:tcW w:w="4111" w:type="dxa"/>
          <w:tcBorders>
            <w:top w:val="nil"/>
            <w:left w:val="nil"/>
            <w:bottom w:val="nil"/>
            <w:right w:val="nil"/>
          </w:tcBorders>
        </w:tcPr>
        <w:p w:rsidR="00CE3825" w:rsidRDefault="002065BE" w:rsidP="002065BE">
          <w:pPr>
            <w:pStyle w:val="Intestazione"/>
            <w:tabs>
              <w:tab w:val="clear" w:pos="9638"/>
              <w:tab w:val="right" w:pos="3899"/>
            </w:tabs>
            <w:rPr>
              <w:sz w:val="20"/>
            </w:rPr>
          </w:pPr>
          <w:r>
            <w:rPr>
              <w:sz w:val="20"/>
            </w:rPr>
            <w:br/>
          </w:r>
          <w:r>
            <w:rPr>
              <w:noProof/>
            </w:rPr>
            <w:drawing>
              <wp:inline distT="0" distB="0" distL="0" distR="0">
                <wp:extent cx="1097280" cy="342900"/>
                <wp:effectExtent l="0" t="0" r="0" b="0"/>
                <wp:docPr id="101" name="Immagine 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cc"/>
                        <pic:cNvPicPr>
                          <a:picLocks noChangeAspect="1" noChangeArrowheads="1"/>
                        </pic:cNvPicPr>
                      </pic:nvPicPr>
                      <pic:blipFill>
                        <a:blip r:embed="rId1"/>
                        <a:stretch>
                          <a:fillRect/>
                        </a:stretch>
                      </pic:blipFill>
                      <pic:spPr bwMode="auto">
                        <a:xfrm>
                          <a:off x="0" y="0"/>
                          <a:ext cx="1097280" cy="342900"/>
                        </a:xfrm>
                        <a:prstGeom prst="rect">
                          <a:avLst/>
                        </a:prstGeom>
                      </pic:spPr>
                    </pic:pic>
                  </a:graphicData>
                </a:graphic>
              </wp:inline>
            </w:drawing>
          </w:r>
        </w:p>
      </w:tc>
      <w:tc>
        <w:tcPr>
          <w:tcW w:w="5103" w:type="dxa"/>
          <w:tcBorders>
            <w:top w:val="nil"/>
            <w:left w:val="nil"/>
            <w:bottom w:val="nil"/>
            <w:right w:val="nil"/>
          </w:tcBorders>
        </w:tcPr>
        <w:p w:rsidR="002065BE" w:rsidRPr="00D92E12" w:rsidRDefault="002065BE" w:rsidP="002065BE">
          <w:pPr>
            <w:pStyle w:val="Default"/>
            <w:shd w:val="clear" w:color="auto" w:fill="548DD4"/>
            <w:jc w:val="center"/>
          </w:pPr>
          <w:r w:rsidRPr="00D92E12">
            <w:rPr>
              <w:rFonts w:ascii="Calibri" w:hAnsi="Calibri" w:cs="Calibri"/>
              <w:b/>
              <w:color w:val="FFFFFF"/>
            </w:rPr>
            <w:t xml:space="preserve">BANDO </w:t>
          </w:r>
          <w:r w:rsidRPr="00D92E12">
            <w:rPr>
              <w:rFonts w:ascii="Calibri" w:hAnsi="Calibri" w:cs="Calibri"/>
              <w:b/>
              <w:color w:val="FFFFFF"/>
              <w:lang w:eastAsia="zh-CN"/>
            </w:rPr>
            <w:t xml:space="preserve">CERTIFICAZIONE COMPETENZE </w:t>
          </w:r>
        </w:p>
        <w:p w:rsidR="002065BE" w:rsidRPr="00D92E12" w:rsidRDefault="002065BE" w:rsidP="002065BE">
          <w:pPr>
            <w:pStyle w:val="Default"/>
            <w:shd w:val="clear" w:color="auto" w:fill="548DD4"/>
            <w:jc w:val="center"/>
          </w:pPr>
          <w:r w:rsidRPr="00D92E12">
            <w:rPr>
              <w:rFonts w:ascii="Calibri" w:hAnsi="Calibri" w:cs="Calibri"/>
              <w:b/>
              <w:color w:val="FFFFFF"/>
            </w:rPr>
            <w:t>Anno 2023</w:t>
          </w:r>
        </w:p>
        <w:p w:rsidR="00CE3825" w:rsidRDefault="002065BE" w:rsidP="002065BE">
          <w:pPr>
            <w:pStyle w:val="Default"/>
            <w:shd w:val="clear" w:color="auto" w:fill="548DD4"/>
            <w:jc w:val="center"/>
            <w:rPr>
              <w:sz w:val="20"/>
            </w:rPr>
          </w:pPr>
          <w:r w:rsidRPr="00D92E12">
            <w:rPr>
              <w:rFonts w:ascii="Calibri" w:hAnsi="Calibri" w:cs="Calibri"/>
              <w:b/>
              <w:color w:val="FFFFFF"/>
            </w:rPr>
            <w:t>Dichiarazione rating legalità</w:t>
          </w:r>
        </w:p>
      </w:tc>
      <w:tc>
        <w:tcPr>
          <w:tcW w:w="2222" w:type="dxa"/>
          <w:tcBorders>
            <w:top w:val="nil"/>
            <w:left w:val="nil"/>
            <w:bottom w:val="nil"/>
            <w:right w:val="nil"/>
          </w:tcBorders>
        </w:tcPr>
        <w:p w:rsidR="00CE3825" w:rsidRDefault="00CE3825">
          <w:pPr>
            <w:pStyle w:val="Intestazione"/>
            <w:jc w:val="center"/>
            <w:rPr>
              <w:sz w:val="20"/>
            </w:rPr>
          </w:pPr>
        </w:p>
      </w:tc>
    </w:tr>
  </w:tbl>
  <w:p w:rsidR="00CE3825" w:rsidRDefault="00CE38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2287" w:type="dxa"/>
      <w:tblInd w:w="108" w:type="dxa"/>
      <w:tblLayout w:type="fixed"/>
      <w:tblLook w:val="04A0" w:firstRow="1" w:lastRow="0" w:firstColumn="1" w:lastColumn="0" w:noHBand="0" w:noVBand="1"/>
    </w:tblPr>
    <w:tblGrid>
      <w:gridCol w:w="4111"/>
      <w:gridCol w:w="5954"/>
      <w:gridCol w:w="2222"/>
    </w:tblGrid>
    <w:tr w:rsidR="00CE3825">
      <w:tc>
        <w:tcPr>
          <w:tcW w:w="4111" w:type="dxa"/>
          <w:tcBorders>
            <w:top w:val="nil"/>
            <w:left w:val="nil"/>
            <w:bottom w:val="nil"/>
            <w:right w:val="nil"/>
          </w:tcBorders>
        </w:tcPr>
        <w:p w:rsidR="00CE3825" w:rsidRDefault="002065BE">
          <w:pPr>
            <w:pStyle w:val="Intestazione"/>
            <w:rPr>
              <w:sz w:val="20"/>
            </w:rPr>
          </w:pPr>
          <w:r>
            <w:rPr>
              <w:sz w:val="20"/>
            </w:rPr>
            <w:br/>
          </w:r>
          <w:r>
            <w:rPr>
              <w:noProof/>
            </w:rPr>
            <w:drawing>
              <wp:inline distT="0" distB="0" distL="0" distR="0">
                <wp:extent cx="1097280" cy="342900"/>
                <wp:effectExtent l="0" t="0" r="0" b="0"/>
                <wp:docPr id="102" name="Immagine 10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logocc"/>
                        <pic:cNvPicPr>
                          <a:picLocks noChangeAspect="1" noChangeArrowheads="1"/>
                        </pic:cNvPicPr>
                      </pic:nvPicPr>
                      <pic:blipFill>
                        <a:blip r:embed="rId1"/>
                        <a:stretch>
                          <a:fillRect/>
                        </a:stretch>
                      </pic:blipFill>
                      <pic:spPr bwMode="auto">
                        <a:xfrm>
                          <a:off x="0" y="0"/>
                          <a:ext cx="1097280" cy="342900"/>
                        </a:xfrm>
                        <a:prstGeom prst="rect">
                          <a:avLst/>
                        </a:prstGeom>
                      </pic:spPr>
                    </pic:pic>
                  </a:graphicData>
                </a:graphic>
              </wp:inline>
            </w:drawing>
          </w:r>
        </w:p>
      </w:tc>
      <w:tc>
        <w:tcPr>
          <w:tcW w:w="5954" w:type="dxa"/>
          <w:tcBorders>
            <w:top w:val="nil"/>
            <w:left w:val="nil"/>
            <w:bottom w:val="nil"/>
            <w:right w:val="nil"/>
          </w:tcBorders>
        </w:tcPr>
        <w:p w:rsidR="00CE3825" w:rsidRDefault="002065BE">
          <w:pPr>
            <w:shd w:val="clear" w:color="auto" w:fill="953F21"/>
            <w:ind w:hanging="2"/>
            <w:jc w:val="center"/>
            <w:rPr>
              <w:b/>
              <w:color w:val="FFFFFF"/>
            </w:rPr>
          </w:pPr>
          <w:r>
            <w:rPr>
              <w:b/>
              <w:color w:val="FFFFFF"/>
            </w:rPr>
            <w:t>BANDO CONTRIBUTI</w:t>
          </w:r>
        </w:p>
        <w:p w:rsidR="00CE3825" w:rsidRDefault="002065BE">
          <w:pPr>
            <w:shd w:val="clear" w:color="auto" w:fill="953F21"/>
            <w:ind w:hanging="2"/>
            <w:jc w:val="center"/>
            <w:rPr>
              <w:b/>
              <w:color w:val="FFFFFF"/>
            </w:rPr>
          </w:pPr>
          <w:r>
            <w:rPr>
              <w:b/>
              <w:color w:val="FFFFFF"/>
            </w:rPr>
            <w:t>FORMAZIONE, LAVORO E RILANCIO</w:t>
          </w:r>
        </w:p>
        <w:p w:rsidR="00CE3825" w:rsidRDefault="002065BE">
          <w:pPr>
            <w:shd w:val="clear" w:color="auto" w:fill="953F21"/>
            <w:ind w:hanging="2"/>
            <w:jc w:val="center"/>
            <w:rPr>
              <w:b/>
              <w:color w:val="FFFFFF"/>
            </w:rPr>
          </w:pPr>
          <w:r>
            <w:rPr>
              <w:b/>
              <w:color w:val="FFFFFF"/>
            </w:rPr>
            <w:t>Anno 2022</w:t>
          </w:r>
        </w:p>
        <w:p w:rsidR="00CE3825" w:rsidRDefault="002065BE">
          <w:pPr>
            <w:shd w:val="clear" w:color="auto" w:fill="953F21"/>
            <w:ind w:hanging="2"/>
            <w:jc w:val="center"/>
            <w:rPr>
              <w:b/>
              <w:color w:val="FFFFFF"/>
            </w:rPr>
          </w:pPr>
          <w:proofErr w:type="gramStart"/>
          <w:r>
            <w:rPr>
              <w:b/>
              <w:color w:val="FFFFFF"/>
            </w:rPr>
            <w:t>Dichiarazione  rating</w:t>
          </w:r>
          <w:proofErr w:type="gramEnd"/>
          <w:r>
            <w:rPr>
              <w:b/>
              <w:color w:val="FFFFFF"/>
            </w:rPr>
            <w:t xml:space="preserve"> di legalità</w:t>
          </w:r>
        </w:p>
        <w:p w:rsidR="00CE3825" w:rsidRDefault="00CE3825">
          <w:pPr>
            <w:jc w:val="center"/>
            <w:rPr>
              <w:smallCaps/>
              <w:color w:val="808080"/>
              <w:sz w:val="20"/>
            </w:rPr>
          </w:pPr>
          <w:bookmarkStart w:id="1" w:name="Oggetto"/>
          <w:bookmarkEnd w:id="1"/>
        </w:p>
        <w:p w:rsidR="00CE3825" w:rsidRDefault="00CE3825">
          <w:pPr>
            <w:pStyle w:val="Intestazione"/>
            <w:jc w:val="center"/>
            <w:rPr>
              <w:sz w:val="20"/>
            </w:rPr>
          </w:pPr>
        </w:p>
      </w:tc>
      <w:tc>
        <w:tcPr>
          <w:tcW w:w="2222" w:type="dxa"/>
          <w:tcBorders>
            <w:top w:val="nil"/>
            <w:left w:val="nil"/>
            <w:bottom w:val="nil"/>
            <w:right w:val="nil"/>
          </w:tcBorders>
        </w:tcPr>
        <w:p w:rsidR="00CE3825" w:rsidRDefault="00CE3825">
          <w:pPr>
            <w:pStyle w:val="Intestazione"/>
            <w:jc w:val="center"/>
            <w:rPr>
              <w:sz w:val="20"/>
            </w:rPr>
          </w:pPr>
        </w:p>
      </w:tc>
    </w:tr>
  </w:tbl>
  <w:p w:rsidR="00CE3825" w:rsidRDefault="00CE38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B0334"/>
    <w:multiLevelType w:val="multilevel"/>
    <w:tmpl w:val="3D56847A"/>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Wingdings" w:hAnsi="Wingdings" w:cs="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49D1F4E"/>
    <w:multiLevelType w:val="multilevel"/>
    <w:tmpl w:val="5DEE05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3825"/>
    <w:rsid w:val="0017159B"/>
    <w:rsid w:val="002065BE"/>
    <w:rsid w:val="0042495D"/>
    <w:rsid w:val="00850545"/>
    <w:rsid w:val="00880B44"/>
    <w:rsid w:val="00CE3825"/>
    <w:rsid w:val="00D00213"/>
    <w:rsid w:val="00D92E12"/>
    <w:rsid w:val="00F23C40"/>
    <w:rsid w:val="00F9308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9761"/>
  <w15:docId w15:val="{4537326C-62BD-4BF9-BA7F-1CD90FD9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F2D54"/>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C33EB7"/>
  </w:style>
  <w:style w:type="character" w:customStyle="1" w:styleId="PidipaginaCarattere">
    <w:name w:val="Piè di pagina Carattere"/>
    <w:basedOn w:val="Carpredefinitoparagrafo"/>
    <w:link w:val="Pidipagina"/>
    <w:uiPriority w:val="99"/>
    <w:qFormat/>
    <w:rsid w:val="00C33EB7"/>
  </w:style>
  <w:style w:type="character" w:customStyle="1" w:styleId="CorpotestoCarattere">
    <w:name w:val="Corpo testo Carattere"/>
    <w:basedOn w:val="Carpredefinitoparagrafo"/>
    <w:link w:val="Corpotesto"/>
    <w:uiPriority w:val="99"/>
    <w:semiHidden/>
    <w:qFormat/>
    <w:rsid w:val="00C33EB7"/>
  </w:style>
  <w:style w:type="character" w:customStyle="1" w:styleId="TestofumettoCarattere">
    <w:name w:val="Testo fumetto Carattere"/>
    <w:basedOn w:val="Carpredefinitoparagrafo"/>
    <w:link w:val="Testofumetto"/>
    <w:uiPriority w:val="99"/>
    <w:semiHidden/>
    <w:qFormat/>
    <w:rsid w:val="00C33EB7"/>
    <w:rPr>
      <w:rFonts w:ascii="Tahoma" w:hAnsi="Tahoma" w:cs="Tahoma"/>
      <w:sz w:val="16"/>
      <w:szCs w:val="16"/>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99"/>
    <w:semiHidden/>
    <w:unhideWhenUsed/>
    <w:rsid w:val="00C33EB7"/>
    <w:pPr>
      <w:spacing w:after="120"/>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ice">
    <w:name w:val="Indice"/>
    <w:basedOn w:val="Normale"/>
    <w:qFormat/>
    <w:pPr>
      <w:suppressLineNumbers/>
    </w:pPr>
    <w:rPr>
      <w:rFonts w:cs="Arial Unicode MS"/>
    </w:rPr>
  </w:style>
  <w:style w:type="paragraph" w:styleId="Paragrafoelenco">
    <w:name w:val="List Paragraph"/>
    <w:basedOn w:val="Normale"/>
    <w:uiPriority w:val="99"/>
    <w:qFormat/>
    <w:rsid w:val="00063542"/>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C33EB7"/>
    <w:pPr>
      <w:tabs>
        <w:tab w:val="center" w:pos="4819"/>
        <w:tab w:val="right" w:pos="9638"/>
      </w:tabs>
    </w:pPr>
  </w:style>
  <w:style w:type="paragraph" w:styleId="Pidipagina">
    <w:name w:val="footer"/>
    <w:basedOn w:val="Normale"/>
    <w:link w:val="PidipaginaCarattere"/>
    <w:uiPriority w:val="99"/>
    <w:unhideWhenUsed/>
    <w:rsid w:val="00C33EB7"/>
    <w:pPr>
      <w:tabs>
        <w:tab w:val="center" w:pos="4819"/>
        <w:tab w:val="right" w:pos="9638"/>
      </w:tabs>
    </w:pPr>
  </w:style>
  <w:style w:type="paragraph" w:styleId="Testofumetto">
    <w:name w:val="Balloon Text"/>
    <w:basedOn w:val="Normale"/>
    <w:link w:val="TestofumettoCarattere"/>
    <w:uiPriority w:val="99"/>
    <w:semiHidden/>
    <w:unhideWhenUsed/>
    <w:qFormat/>
    <w:rsid w:val="00C33EB7"/>
    <w:rPr>
      <w:rFonts w:ascii="Tahoma" w:hAnsi="Tahoma" w:cs="Tahoma"/>
      <w:sz w:val="16"/>
      <w:szCs w:val="16"/>
    </w:rPr>
  </w:style>
  <w:style w:type="paragraph" w:customStyle="1" w:styleId="Default">
    <w:name w:val="Default"/>
    <w:qFormat/>
    <w:rsid w:val="00DC1ABB"/>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qFormat/>
    <w:rsid w:val="00DC1ABB"/>
    <w:pPr>
      <w:spacing w:beforeAutospacing="1" w:afterAutospacing="1"/>
    </w:pPr>
    <w:rPr>
      <w:rFonts w:eastAsia="MS Mincho"/>
      <w:sz w:val="20"/>
      <w:szCs w:val="20"/>
    </w:rPr>
  </w:style>
  <w:style w:type="table" w:styleId="Grigliatabella">
    <w:name w:val="Table Grid"/>
    <w:basedOn w:val="Tabellanormale"/>
    <w:uiPriority w:val="59"/>
    <w:rsid w:val="00C33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unhideWhenUsed/>
    <w:rsid w:val="002065BE"/>
    <w:pPr>
      <w:spacing w:after="120" w:line="480" w:lineRule="auto"/>
    </w:pPr>
    <w:rPr>
      <w:rFonts w:asciiTheme="minorHAnsi" w:eastAsiaTheme="minorHAnsi" w:hAnsiTheme="minorHAnsi" w:cstheme="minorBidi"/>
      <w:sz w:val="22"/>
      <w:szCs w:val="22"/>
      <w:lang w:eastAsia="en-US"/>
    </w:rPr>
  </w:style>
  <w:style w:type="character" w:customStyle="1" w:styleId="Corpodeltesto2Carattere">
    <w:name w:val="Corpo del testo 2 Carattere"/>
    <w:basedOn w:val="Carpredefinitoparagrafo"/>
    <w:link w:val="Corpodeltesto2"/>
    <w:uiPriority w:val="99"/>
    <w:semiHidden/>
    <w:rsid w:val="002065BE"/>
  </w:style>
  <w:style w:type="character" w:styleId="Collegamentoipertestuale">
    <w:name w:val="Hyperlink"/>
    <w:basedOn w:val="Carpredefinitoparagrafo"/>
    <w:uiPriority w:val="99"/>
    <w:unhideWhenUsed/>
    <w:rsid w:val="00850545"/>
    <w:rPr>
      <w:color w:val="0000FF" w:themeColor="hyperlink"/>
      <w:u w:val="single"/>
    </w:rPr>
  </w:style>
  <w:style w:type="character" w:styleId="Menzionenonrisolta">
    <w:name w:val="Unresolved Mention"/>
    <w:basedOn w:val="Carpredefinitoparagrafo"/>
    <w:uiPriority w:val="99"/>
    <w:semiHidden/>
    <w:unhideWhenUsed/>
    <w:rsid w:val="00850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br.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944</Words>
  <Characters>5381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PID BRINDISI</dc:creator>
  <dc:description/>
  <cp:lastModifiedBy>cbr0092</cp:lastModifiedBy>
  <cp:revision>84</cp:revision>
  <cp:lastPrinted>2023-10-04T10:56:00Z</cp:lastPrinted>
  <dcterms:created xsi:type="dcterms:W3CDTF">2019-01-30T09:18:00Z</dcterms:created>
  <dcterms:modified xsi:type="dcterms:W3CDTF">2023-10-04T13:50:00Z</dcterms:modified>
  <dc:language>it-IT</dc:language>
</cp:coreProperties>
</file>