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mbria" w:hAnsi="Cambria" w:eastAsia="Cambria" w:cs="Cambria"/>
          <w:b/>
          <w:b/>
          <w:smallCaps/>
          <w:color w:val="002060"/>
          <w:sz w:val="28"/>
          <w:szCs w:val="28"/>
        </w:rPr>
      </w:pPr>
      <w:r>
        <w:rPr/>
        <w:drawing>
          <wp:inline distT="0" distB="0" distL="0" distR="0">
            <wp:extent cx="1947545" cy="5289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947545" cy="528955"/>
                    </a:xfrm>
                    <a:prstGeom prst="rect">
                      <a:avLst/>
                    </a:prstGeom>
                  </pic:spPr>
                </pic:pic>
              </a:graphicData>
            </a:graphic>
          </wp:inline>
        </w:drawing>
      </w:r>
    </w:p>
    <w:p>
      <w:pPr>
        <w:pStyle w:val="Normal"/>
        <w:spacing w:lineRule="auto" w:line="240" w:before="0" w:after="0"/>
        <w:rPr>
          <w:rFonts w:ascii="Cambria" w:hAnsi="Cambria" w:eastAsia="Cambria" w:cs="Cambria"/>
          <w:smallCaps/>
          <w:color w:val="002060"/>
          <w:sz w:val="28"/>
          <w:szCs w:val="28"/>
        </w:rPr>
      </w:pPr>
      <w:r>
        <w:rPr>
          <w:rFonts w:eastAsia="Cambria" w:cs="Cambria" w:ascii="Cambria" w:hAnsi="Cambria"/>
          <w:smallCaps/>
          <w:color w:val="002060"/>
          <w:sz w:val="28"/>
          <w:szCs w:val="28"/>
        </w:rPr>
      </w:r>
    </w:p>
    <w:p>
      <w:pPr>
        <w:pStyle w:val="Normal"/>
        <w:spacing w:lineRule="auto" w:line="240" w:before="0" w:after="0"/>
        <w:jc w:val="center"/>
        <w:rPr>
          <w:rFonts w:ascii="Cambria" w:hAnsi="Cambria" w:eastAsia="Cambria" w:cs="Cambria"/>
          <w:b/>
          <w:b/>
          <w:smallCaps/>
          <w:color w:val="002060"/>
          <w:sz w:val="28"/>
          <w:szCs w:val="28"/>
        </w:rPr>
      </w:pPr>
      <w:r>
        <w:rPr>
          <w:rFonts w:eastAsia="Cambria" w:cs="Cambria" w:ascii="Cambria" w:hAnsi="Cambria"/>
          <w:b/>
          <w:smallCaps/>
          <w:color w:val="002060"/>
          <w:sz w:val="28"/>
          <w:szCs w:val="28"/>
        </w:rPr>
        <w:t xml:space="preserve">Informativa in materia di trattamento dei dati personali </w:t>
      </w:r>
    </w:p>
    <w:p>
      <w:pPr>
        <w:pStyle w:val="Normal"/>
        <w:spacing w:lineRule="auto" w:line="240" w:before="0" w:after="60"/>
        <w:jc w:val="center"/>
        <w:rPr>
          <w:rFonts w:ascii="Cambria" w:hAnsi="Cambria" w:eastAsia="Cambria" w:cs="Cambria"/>
          <w:b/>
          <w:b/>
          <w:smallCaps/>
          <w:color w:val="002060"/>
          <w:sz w:val="28"/>
          <w:szCs w:val="28"/>
        </w:rPr>
      </w:pPr>
      <w:r>
        <w:rPr>
          <w:rFonts w:eastAsia="Cambria" w:cs="Cambria" w:ascii="Cambria" w:hAnsi="Cambria"/>
          <w:b/>
          <w:smallCaps/>
          <w:color w:val="002060"/>
          <w:sz w:val="28"/>
          <w:szCs w:val="28"/>
        </w:rPr>
        <w:t>nell’ambito della procedura di cancellazione dei protesti nel registro nazionale o di annotazione del pagamento</w:t>
      </w:r>
    </w:p>
    <w:p>
      <w:pPr>
        <w:pStyle w:val="Normal"/>
        <w:spacing w:lineRule="auto" w:line="240" w:before="0" w:after="0"/>
        <w:jc w:val="center"/>
        <w:rPr>
          <w:rFonts w:ascii="Cambria" w:hAnsi="Cambria" w:eastAsia="Cambria" w:cs="Cambria"/>
          <w:i/>
          <w:i/>
          <w:smallCaps/>
          <w:color w:val="002060"/>
          <w:sz w:val="20"/>
          <w:szCs w:val="20"/>
        </w:rPr>
      </w:pPr>
      <w:r>
        <w:rPr>
          <w:rFonts w:eastAsia="Cambria" w:cs="Cambria" w:ascii="Cambria" w:hAnsi="Cambria"/>
          <w:i/>
          <w:smallCaps/>
          <w:color w:val="002060"/>
          <w:sz w:val="20"/>
          <w:szCs w:val="20"/>
        </w:rPr>
        <w:t>(Artt. 12, 13 e 14 del Regolamento UE 2016/679 – GDPR)</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jc w:val="both"/>
        <w:rPr>
          <w:sz w:val="20"/>
          <w:szCs w:val="20"/>
          <w:highlight w:val="white"/>
        </w:rPr>
      </w:pPr>
      <w:r>
        <w:rPr>
          <w:sz w:val="20"/>
          <w:szCs w:val="20"/>
        </w:rPr>
        <w:t>Con questo documento, la Camera di Commercio, Industria, Artigianato e Agricoltura di Brindisi</w:t>
      </w:r>
      <w:r>
        <w:rPr>
          <w:color w:val="7030A0"/>
          <w:sz w:val="20"/>
          <w:szCs w:val="20"/>
        </w:rPr>
        <w:t xml:space="preserve"> </w:t>
      </w:r>
      <w:r>
        <w:rPr>
          <w:sz w:val="20"/>
          <w:szCs w:val="20"/>
        </w:rPr>
        <w:t>(di seguito, anche più semplicemente, “la Camera di Commercio” o “la CCIAA”) intende fornirle le informazioni previste</w:t>
      </w:r>
      <w:r>
        <w:rPr>
          <w:sz w:val="20"/>
          <w:szCs w:val="20"/>
          <w:highlight w:val="white"/>
        </w:rPr>
        <w:t xml:space="preserve"> dagli artt. </w:t>
      </w:r>
      <w:r>
        <w:rPr>
          <w:sz w:val="20"/>
          <w:szCs w:val="20"/>
        </w:rPr>
        <w:t xml:space="preserve">13 e 14 </w:t>
      </w:r>
      <w:r>
        <w:rPr>
          <w:sz w:val="20"/>
          <w:szCs w:val="20"/>
          <w:highlight w:val="white"/>
        </w:rPr>
        <w:t>del Regolamento (UE) 2016/679 (di seguito, “GDPR”), in merito al trattamento dei dati personali che la riguardano, nell’ambito della procedura in oggetto.</w:t>
      </w:r>
    </w:p>
    <w:p>
      <w:pPr>
        <w:pStyle w:val="Normal"/>
        <w:spacing w:lineRule="auto" w:line="240" w:before="0" w:after="0"/>
        <w:jc w:val="both"/>
        <w:rPr>
          <w:sz w:val="24"/>
          <w:szCs w:val="24"/>
          <w:highlight w:val="white"/>
        </w:rPr>
      </w:pPr>
      <w:r>
        <w:rPr>
          <w:sz w:val="24"/>
          <w:szCs w:val="24"/>
          <w:highlight w:val="white"/>
        </w:rPr>
      </w:r>
    </w:p>
    <w:p>
      <w:pPr>
        <w:pStyle w:val="Normal"/>
        <w:spacing w:lineRule="auto" w:line="240" w:before="0" w:after="0"/>
        <w:jc w:val="both"/>
        <w:rPr>
          <w:color w:val="002060"/>
          <w:sz w:val="20"/>
          <w:szCs w:val="20"/>
        </w:rPr>
      </w:pPr>
      <w:r>
        <w:rPr>
          <w:b/>
          <w:color w:val="002060"/>
          <w:sz w:val="20"/>
          <w:szCs w:val="20"/>
        </w:rPr>
        <w:t xml:space="preserve">1. </w:t>
      </w:r>
      <w:r>
        <w:rPr>
          <w:b/>
          <w:color w:val="002060"/>
          <w:sz w:val="20"/>
          <w:szCs w:val="20"/>
          <w:u w:val="single"/>
        </w:rPr>
        <w:t>Titolare del trattamento</w:t>
      </w:r>
    </w:p>
    <w:p>
      <w:pPr>
        <w:pStyle w:val="Normal"/>
        <w:spacing w:lineRule="auto" w:line="240" w:before="0" w:after="0"/>
        <w:jc w:val="both"/>
        <w:rPr>
          <w:color w:val="0000FF"/>
          <w:sz w:val="20"/>
          <w:szCs w:val="20"/>
          <w:u w:val="single"/>
        </w:rPr>
      </w:pPr>
      <w:bookmarkStart w:id="0" w:name="_heading=h.30j0zll"/>
      <w:bookmarkEnd w:id="0"/>
      <w:r>
        <w:rPr>
          <w:sz w:val="20"/>
          <w:szCs w:val="20"/>
        </w:rPr>
        <w:t xml:space="preserve">Titolare del trattamento dei dati personali è la Camera di Commercio, Industria, Artigianato e Agricoltura di Brindisi, avente sede in Brindisi, Via Bastioni Carlo V, n.4, P.IVA 00187930748, tel. 0831228239, email: </w:t>
      </w:r>
      <w:hyperlink r:id="rId3">
        <w:r>
          <w:rPr>
            <w:color w:val="0000FF"/>
            <w:sz w:val="20"/>
            <w:szCs w:val="20"/>
            <w:u w:val="single"/>
          </w:rPr>
          <w:t>segreteria.generale@br.camcom.it</w:t>
        </w:r>
      </w:hyperlink>
      <w:r>
        <w:rPr>
          <w:sz w:val="20"/>
          <w:szCs w:val="20"/>
        </w:rPr>
        <w:t xml:space="preserve">  PEC:  </w:t>
      </w:r>
      <w:hyperlink r:id="rId4">
        <w:r>
          <w:rPr>
            <w:color w:val="0000FF"/>
            <w:sz w:val="20"/>
            <w:szCs w:val="20"/>
            <w:u w:val="single"/>
          </w:rPr>
          <w:t>cciaa@br.legalmail.camcom.it</w:t>
        </w:r>
      </w:hyperlink>
      <w:r>
        <w:rPr>
          <w:sz w:val="20"/>
          <w:szCs w:val="20"/>
        </w:rPr>
        <w:t xml:space="preserve">  , sito internet </w:t>
      </w:r>
      <w:r>
        <w:rPr>
          <w:color w:val="0000FF"/>
          <w:sz w:val="20"/>
          <w:szCs w:val="20"/>
          <w:u w:val="single"/>
        </w:rPr>
        <w:t>https://www.br.camcom.it/</w:t>
      </w:r>
    </w:p>
    <w:p>
      <w:pPr>
        <w:pStyle w:val="Normal"/>
        <w:spacing w:lineRule="auto" w:line="240" w:before="0" w:after="0"/>
        <w:jc w:val="both"/>
        <w:rPr>
          <w:color w:val="0000FF"/>
          <w:sz w:val="20"/>
          <w:szCs w:val="20"/>
          <w:u w:val="single"/>
        </w:rPr>
      </w:pPr>
      <w:r>
        <w:rPr>
          <w:color w:val="0000FF"/>
          <w:sz w:val="20"/>
          <w:szCs w:val="20"/>
          <w:u w:val="single"/>
        </w:rPr>
      </w:r>
    </w:p>
    <w:p>
      <w:pPr>
        <w:pStyle w:val="Normal"/>
        <w:spacing w:lineRule="auto" w:line="240" w:before="0" w:after="0"/>
        <w:jc w:val="both"/>
        <w:rPr>
          <w:color w:val="002060"/>
          <w:sz w:val="20"/>
          <w:szCs w:val="20"/>
        </w:rPr>
      </w:pPr>
      <w:r>
        <w:rPr>
          <w:b/>
          <w:color w:val="002060"/>
          <w:sz w:val="20"/>
          <w:szCs w:val="20"/>
        </w:rPr>
        <w:t xml:space="preserve">2. </w:t>
      </w:r>
      <w:r>
        <w:rPr>
          <w:b/>
          <w:color w:val="002060"/>
          <w:sz w:val="20"/>
          <w:szCs w:val="20"/>
          <w:u w:val="single"/>
        </w:rPr>
        <w:t>DPO – Data Protection Officer / RPD – Responsabile della Protezione dei Dati</w:t>
      </w:r>
    </w:p>
    <w:p>
      <w:pPr>
        <w:pStyle w:val="Normal"/>
        <w:spacing w:lineRule="auto" w:line="240" w:before="0" w:after="0"/>
        <w:jc w:val="both"/>
        <w:rPr>
          <w:sz w:val="20"/>
          <w:szCs w:val="20"/>
        </w:rPr>
      </w:pPr>
      <w:r>
        <w:rPr>
          <w:sz w:val="20"/>
          <w:szCs w:val="20"/>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pPr>
        <w:pStyle w:val="Normal"/>
        <w:spacing w:lineRule="auto" w:line="240" w:before="0" w:after="0"/>
        <w:jc w:val="both"/>
        <w:rPr>
          <w:sz w:val="20"/>
          <w:szCs w:val="20"/>
        </w:rPr>
      </w:pPr>
      <w:r>
        <w:rPr>
          <w:sz w:val="20"/>
          <w:szCs w:val="20"/>
        </w:rPr>
        <w:t>I dati di contatto del DPO/RPD della Camera di Commercio di Brindisi sono i seguenti:</w:t>
      </w:r>
    </w:p>
    <w:p>
      <w:pPr>
        <w:pStyle w:val="Normal"/>
        <w:numPr>
          <w:ilvl w:val="0"/>
          <w:numId w:val="1"/>
        </w:numPr>
        <w:spacing w:lineRule="auto" w:line="240" w:before="0" w:after="0"/>
        <w:jc w:val="both"/>
        <w:rPr>
          <w:sz w:val="20"/>
          <w:szCs w:val="20"/>
        </w:rPr>
      </w:pPr>
      <w:r>
        <w:rPr>
          <w:sz w:val="20"/>
          <w:szCs w:val="20"/>
        </w:rPr>
        <w:t>indirizzo di posta elettronica certificata:dpo@br.legalmail.camcom.it</w:t>
      </w:r>
    </w:p>
    <w:p>
      <w:pPr>
        <w:pStyle w:val="Normal"/>
        <w:numPr>
          <w:ilvl w:val="0"/>
          <w:numId w:val="1"/>
        </w:numPr>
        <w:spacing w:lineRule="auto" w:line="240" w:before="0" w:after="0"/>
        <w:jc w:val="both"/>
        <w:rPr>
          <w:sz w:val="20"/>
          <w:szCs w:val="20"/>
        </w:rPr>
      </w:pPr>
      <w:r>
        <w:rPr>
          <w:sz w:val="20"/>
          <w:szCs w:val="20"/>
        </w:rPr>
        <w:t xml:space="preserve">indirizzo di posta elettronica ordinaria dpo@br.camcom.it  </w:t>
      </w:r>
    </w:p>
    <w:p>
      <w:pPr>
        <w:pStyle w:val="Normal"/>
        <w:numPr>
          <w:ilvl w:val="0"/>
          <w:numId w:val="1"/>
        </w:numPr>
        <w:spacing w:lineRule="auto" w:line="240" w:before="0" w:after="0"/>
        <w:jc w:val="both"/>
        <w:rPr>
          <w:sz w:val="20"/>
          <w:szCs w:val="20"/>
        </w:rPr>
      </w:pPr>
      <w:r>
        <w:rPr>
          <w:sz w:val="20"/>
          <w:szCs w:val="20"/>
        </w:rPr>
        <w:t>recapito postale c/o Camera di Commercio di Brindisi – Via Bastioni Carlo V, n. 4 – CAP 72100 Brindisi</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color w:val="002060"/>
          <w:sz w:val="20"/>
          <w:szCs w:val="20"/>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
        <w:spacing w:lineRule="auto" w:line="240" w:before="0" w:after="60"/>
        <w:jc w:val="both"/>
        <w:rPr>
          <w:sz w:val="20"/>
          <w:szCs w:val="20"/>
        </w:rPr>
      </w:pPr>
      <w:r>
        <w:rPr>
          <w:sz w:val="20"/>
          <w:szCs w:val="20"/>
        </w:rPr>
        <w:t xml:space="preserve">I dati personali vengono trattati nell’ambito della procedura di cancellazione </w:t>
      </w:r>
      <w:r>
        <w:rPr>
          <w:sz w:val="20"/>
          <w:szCs w:val="20"/>
          <w:shd w:fill="auto" w:val="clear"/>
        </w:rPr>
        <w:t>(anche per avvenuta riabilitazione e per illegittimità o erroneità della levata da parte delle aziende di credito)</w:t>
      </w:r>
      <w:r>
        <w:rPr>
          <w:sz w:val="20"/>
          <w:szCs w:val="20"/>
        </w:rPr>
        <w:t xml:space="preserve"> dei protesti o di annotazione del pagamento nel registro nazionale dei protesti dopo aver verificato la congruità della domanda e dei documenti allegati ai sensi:</w:t>
      </w:r>
    </w:p>
    <w:p>
      <w:pPr>
        <w:pStyle w:val="Normal"/>
        <w:numPr>
          <w:ilvl w:val="0"/>
          <w:numId w:val="2"/>
        </w:numPr>
        <w:spacing w:lineRule="auto" w:line="240" w:before="0" w:after="60"/>
        <w:jc w:val="both"/>
        <w:rPr/>
      </w:pPr>
      <w:r>
        <w:rPr>
          <w:sz w:val="20"/>
          <w:szCs w:val="20"/>
        </w:rPr>
        <w:t>dell’art.4 della Legge n.77/1955 e s.m.i.. (cancellazione per pagamento entro 12 mesi, cancellazione per illegittimità o erroneità della levata da parte delle aziende di credito, annotazione del pagamento)</w:t>
      </w:r>
    </w:p>
    <w:p>
      <w:pPr>
        <w:pStyle w:val="Normal"/>
        <w:numPr>
          <w:ilvl w:val="0"/>
          <w:numId w:val="2"/>
        </w:numPr>
        <w:spacing w:lineRule="auto" w:line="240" w:before="0" w:after="60"/>
        <w:jc w:val="both"/>
        <w:rPr>
          <w:sz w:val="20"/>
          <w:szCs w:val="20"/>
        </w:rPr>
      </w:pPr>
      <w:r>
        <w:rPr>
          <w:sz w:val="20"/>
          <w:szCs w:val="20"/>
        </w:rPr>
        <w:t>dell’art.17, c.6-bis della Legge n.108/1996 e s.m.i.. (cancellazione per riabilitazione)</w:t>
      </w:r>
    </w:p>
    <w:p>
      <w:pPr>
        <w:pStyle w:val="Normal"/>
        <w:spacing w:lineRule="auto" w:line="240" w:before="0" w:after="60"/>
        <w:jc w:val="both"/>
        <w:rPr>
          <w:sz w:val="20"/>
          <w:szCs w:val="20"/>
        </w:rPr>
      </w:pPr>
      <w:r>
        <w:rPr>
          <w:sz w:val="20"/>
          <w:szCs w:val="20"/>
        </w:rPr>
        <w:t>La Camera di Commercio svolge tali attività nell’ambito dei compiti e delle funzioni assegnate ai sensi della legge n. 580/1993 s.m.i.</w:t>
      </w:r>
    </w:p>
    <w:p>
      <w:pPr>
        <w:pStyle w:val="Normal"/>
        <w:spacing w:lineRule="auto" w:line="240" w:before="0" w:after="60"/>
        <w:jc w:val="both"/>
        <w:rPr>
          <w:sz w:val="20"/>
          <w:szCs w:val="20"/>
        </w:rPr>
      </w:pPr>
      <w:bookmarkStart w:id="1" w:name="_heading=h.1fob9te"/>
      <w:bookmarkEnd w:id="1"/>
      <w:r>
        <w:rPr>
          <w:sz w:val="20"/>
          <w:szCs w:val="20"/>
        </w:rPr>
        <w:t>Per la finalità di cui sopra le basi giuridiche sono rappresentate, quindi, dalla necessità di adempiere ad un obbligo legale al quale è soggetto il titolare (</w:t>
      </w:r>
      <w:r>
        <w:rPr>
          <w:i/>
          <w:sz w:val="20"/>
          <w:szCs w:val="20"/>
        </w:rPr>
        <w:t>art. 6, par.1, lett. c) del GDPR)</w:t>
      </w:r>
      <w:r>
        <w:rPr>
          <w:sz w:val="20"/>
          <w:szCs w:val="20"/>
        </w:rPr>
        <w:t xml:space="preserve"> e per l’esecuzione di un compito di interesse pubblico (</w:t>
      </w:r>
      <w:r>
        <w:rPr>
          <w:i/>
          <w:sz w:val="20"/>
          <w:szCs w:val="20"/>
        </w:rPr>
        <w:t>art. 6, par.1, lett. e) del GDPR)</w:t>
      </w:r>
      <w:r>
        <w:rPr>
          <w:sz w:val="20"/>
          <w:szCs w:val="20"/>
        </w:rPr>
        <w:t>.</w:t>
      </w:r>
    </w:p>
    <w:p>
      <w:pPr>
        <w:pStyle w:val="Normal"/>
        <w:spacing w:lineRule="auto" w:line="240" w:before="0" w:after="0"/>
        <w:jc w:val="both"/>
        <w:rPr>
          <w:sz w:val="24"/>
          <w:szCs w:val="24"/>
        </w:rPr>
      </w:pPr>
      <w:r>
        <w:rPr>
          <w:sz w:val="24"/>
          <w:szCs w:val="24"/>
        </w:rPr>
      </w:r>
      <w:bookmarkStart w:id="2" w:name="_heading=h.3znysh7"/>
      <w:bookmarkStart w:id="3" w:name="_heading=h.3znysh7"/>
      <w:bookmarkEnd w:id="3"/>
    </w:p>
    <w:p>
      <w:pPr>
        <w:pStyle w:val="Normal"/>
        <w:spacing w:lineRule="auto" w:line="240" w:before="0" w:after="0"/>
        <w:jc w:val="both"/>
        <w:rPr>
          <w:b/>
          <w:b/>
          <w:color w:val="002060"/>
          <w:sz w:val="20"/>
          <w:szCs w:val="20"/>
        </w:rPr>
      </w:pPr>
      <w:r>
        <w:rPr>
          <w:b/>
          <w:sz w:val="20"/>
          <w:szCs w:val="20"/>
        </w:rPr>
        <w:t>4</w:t>
      </w:r>
      <w:r>
        <w:rPr>
          <w:b/>
          <w:color w:val="002060"/>
          <w:sz w:val="20"/>
          <w:szCs w:val="20"/>
        </w:rPr>
        <w:t xml:space="preserve">. </w:t>
      </w:r>
      <w:r>
        <w:rPr>
          <w:b/>
          <w:color w:val="002060"/>
          <w:sz w:val="20"/>
          <w:szCs w:val="20"/>
          <w:u w:val="single"/>
        </w:rPr>
        <w:t>Natura del conferimento dei dati e conseguenze dell’eventuale mancato conferimento</w:t>
      </w:r>
    </w:p>
    <w:p>
      <w:pPr>
        <w:pStyle w:val="Normal"/>
        <w:spacing w:lineRule="auto" w:line="240" w:before="0" w:after="0"/>
        <w:jc w:val="both"/>
        <w:rPr>
          <w:sz w:val="20"/>
          <w:szCs w:val="20"/>
        </w:rPr>
      </w:pPr>
      <w:r>
        <w:rPr>
          <w:sz w:val="20"/>
          <w:szCs w:val="20"/>
        </w:rPr>
        <w:t xml:space="preserve">Il conferimento dei dati è obbligatorio, il mancato conferimento dei dati comporta l’impossibilità di dare seguito all’istanza di annotazione.  </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color w:val="002060"/>
          <w:sz w:val="20"/>
          <w:szCs w:val="20"/>
        </w:rPr>
      </w:pPr>
      <w:r>
        <w:rPr>
          <w:b/>
          <w:color w:val="002060"/>
          <w:sz w:val="20"/>
          <w:szCs w:val="20"/>
        </w:rPr>
        <w:t xml:space="preserve">5. </w:t>
      </w:r>
      <w:r>
        <w:rPr>
          <w:b/>
          <w:color w:val="002060"/>
          <w:sz w:val="20"/>
          <w:szCs w:val="20"/>
          <w:u w:val="single"/>
        </w:rPr>
        <w:t>Modalità di trattamento</w:t>
      </w:r>
    </w:p>
    <w:p>
      <w:pPr>
        <w:pStyle w:val="Normal"/>
        <w:spacing w:lineRule="auto" w:line="240" w:before="0" w:after="0"/>
        <w:jc w:val="both"/>
        <w:rPr>
          <w:sz w:val="20"/>
          <w:szCs w:val="20"/>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Nessuna decisione che possa produrre effetti giuridici nei confronti dell’interessato sarà basata sul trattamento automatizzato dei dati che lo riguardano, né verranno effettuate attività di profilazione.</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color w:val="002060"/>
          <w:sz w:val="20"/>
          <w:szCs w:val="20"/>
        </w:rPr>
      </w:pPr>
      <w:r>
        <w:rPr>
          <w:b/>
          <w:color w:val="002060"/>
          <w:sz w:val="20"/>
          <w:szCs w:val="20"/>
        </w:rPr>
      </w:r>
    </w:p>
    <w:p>
      <w:pPr>
        <w:pStyle w:val="Normal"/>
        <w:spacing w:lineRule="auto" w:line="240" w:before="0" w:after="0"/>
        <w:jc w:val="both"/>
        <w:rPr>
          <w:b/>
          <w:b/>
          <w:color w:val="002060"/>
          <w:sz w:val="20"/>
          <w:szCs w:val="20"/>
        </w:rPr>
      </w:pPr>
      <w:r>
        <w:rPr>
          <w:b/>
          <w:color w:val="002060"/>
          <w:sz w:val="20"/>
          <w:szCs w:val="20"/>
        </w:rPr>
        <w:t xml:space="preserve">6. </w:t>
      </w:r>
      <w:r>
        <w:rPr>
          <w:b/>
          <w:color w:val="002060"/>
          <w:sz w:val="20"/>
          <w:szCs w:val="20"/>
          <w:highlight w:val="white"/>
          <w:u w:val="single"/>
        </w:rPr>
        <w:t>Categorie di destinatari</w:t>
      </w:r>
    </w:p>
    <w:p>
      <w:pPr>
        <w:pStyle w:val="Normal"/>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sz w:val="20"/>
          <w:szCs w:val="20"/>
        </w:rPr>
      </w:pPr>
      <w:r>
        <w:rPr>
          <w:sz w:val="20"/>
          <w:szCs w:val="20"/>
        </w:rPr>
        <w:t>I dati personali sono trattati da soggetti preventivamente autorizzati dalla CCIAA, appositamente istruiti, formati e sensibilizzati al trattamento degli stessi (artt. 4.10, 29, 32.4, RGPD e art. 2-</w:t>
      </w:r>
      <w:r>
        <w:rPr>
          <w:i/>
          <w:sz w:val="20"/>
          <w:szCs w:val="20"/>
        </w:rPr>
        <w:t xml:space="preserve">quaterdecies </w:t>
      </w:r>
      <w:r>
        <w:rPr>
          <w:sz w:val="20"/>
          <w:szCs w:val="20"/>
        </w:rPr>
        <w:t>del Codice in materia di protezione dati personali).</w:t>
      </w:r>
    </w:p>
    <w:p>
      <w:pPr>
        <w:pStyle w:val="Normal"/>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jc w:val="both"/>
        <w:rPr>
          <w:sz w:val="20"/>
          <w:szCs w:val="20"/>
        </w:rPr>
      </w:pPr>
      <w:r>
        <w:rPr>
          <w:sz w:val="20"/>
          <w:szCs w:val="20"/>
        </w:rPr>
        <w:t xml:space="preserve">Per ragioni legate allo svolgimento delle attività previste al punto 3., i dati potranno, inoltre, essere comunicati ai seguenti soggetti: </w:t>
      </w:r>
    </w:p>
    <w:p>
      <w:pPr>
        <w:pStyle w:val="Normal"/>
        <w:numPr>
          <w:ilvl w:val="0"/>
          <w:numId w:val="4"/>
        </w:numPr>
        <w:pBdr/>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hanging="360"/>
        <w:jc w:val="both"/>
        <w:rPr>
          <w:color w:val="000000"/>
          <w:sz w:val="20"/>
          <w:szCs w:val="20"/>
        </w:rPr>
      </w:pPr>
      <w:r>
        <w:rPr>
          <w:color w:val="000000"/>
          <w:sz w:val="20"/>
          <w:szCs w:val="20"/>
        </w:rPr>
        <w:t>società che erogano servizi tecnico-informatici;</w:t>
      </w:r>
    </w:p>
    <w:p>
      <w:pPr>
        <w:pStyle w:val="Normal"/>
        <w:numPr>
          <w:ilvl w:val="0"/>
          <w:numId w:val="4"/>
        </w:numPr>
        <w:pBdr/>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hanging="360"/>
        <w:jc w:val="both"/>
        <w:rPr>
          <w:color w:val="000000"/>
          <w:sz w:val="20"/>
          <w:szCs w:val="20"/>
        </w:rPr>
      </w:pPr>
      <w:r>
        <w:rPr>
          <w:color w:val="000000"/>
          <w:sz w:val="20"/>
          <w:szCs w:val="20"/>
        </w:rPr>
        <w:t>società che svolgono servizi di gestione e manutenzione dei database del Titolare;</w:t>
      </w:r>
    </w:p>
    <w:p>
      <w:pPr>
        <w:pStyle w:val="Normal"/>
        <w:numPr>
          <w:ilvl w:val="0"/>
          <w:numId w:val="4"/>
        </w:numPr>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hanging="360"/>
        <w:jc w:val="both"/>
        <w:rPr>
          <w:sz w:val="20"/>
          <w:szCs w:val="20"/>
        </w:rPr>
      </w:pPr>
      <w:r>
        <w:rPr>
          <w:sz w:val="20"/>
          <w:szCs w:val="20"/>
        </w:rPr>
        <w:t>altre Camere di Commercio italiane;</w:t>
      </w:r>
    </w:p>
    <w:p>
      <w:pPr>
        <w:pStyle w:val="Normal"/>
        <w:numPr>
          <w:ilvl w:val="0"/>
          <w:numId w:val="4"/>
        </w:numPr>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hanging="360"/>
        <w:jc w:val="both"/>
        <w:rPr>
          <w:sz w:val="20"/>
          <w:szCs w:val="20"/>
        </w:rPr>
      </w:pPr>
      <w:r>
        <w:rPr>
          <w:sz w:val="20"/>
          <w:szCs w:val="20"/>
        </w:rPr>
        <w:t>istituti di credito;</w:t>
      </w:r>
    </w:p>
    <w:p>
      <w:pPr>
        <w:pStyle w:val="Normal"/>
        <w:numPr>
          <w:ilvl w:val="0"/>
          <w:numId w:val="5"/>
        </w:numPr>
        <w:tabs>
          <w:tab w:val="clear" w:pos="720"/>
          <w:tab w:val="left" w:pos="-284" w:leader="none"/>
          <w:tab w:val="left" w:pos="-142" w:leader="none"/>
          <w:tab w:val="left" w:pos="1130" w:leader="none"/>
          <w:tab w:val="left" w:pos="1696" w:leader="none"/>
          <w:tab w:val="left" w:pos="2262" w:leader="none"/>
          <w:tab w:val="left" w:pos="2828" w:leader="none"/>
          <w:tab w:val="left" w:pos="3394" w:leader="none"/>
          <w:tab w:val="left" w:pos="3960" w:leader="none"/>
          <w:tab w:val="left" w:pos="4526" w:leader="none"/>
          <w:tab w:val="left" w:pos="5092" w:leader="none"/>
          <w:tab w:val="left" w:pos="5658" w:leader="none"/>
          <w:tab w:val="left" w:pos="6224" w:leader="none"/>
          <w:tab w:val="left" w:pos="6790" w:leader="none"/>
          <w:tab w:val="left" w:pos="7356" w:leader="none"/>
          <w:tab w:val="left" w:pos="7922" w:leader="none"/>
          <w:tab w:val="left" w:pos="8488" w:leader="none"/>
          <w:tab w:val="left" w:pos="9054" w:leader="none"/>
          <w:tab w:val="left" w:pos="9620" w:leader="none"/>
        </w:tabs>
        <w:spacing w:lineRule="auto" w:line="240" w:before="0" w:after="0"/>
        <w:ind w:left="567" w:hanging="360"/>
        <w:jc w:val="both"/>
        <w:rPr>
          <w:sz w:val="20"/>
          <w:szCs w:val="20"/>
        </w:rPr>
      </w:pPr>
      <w:r>
        <w:rPr>
          <w:sz w:val="20"/>
          <w:szCs w:val="20"/>
        </w:rPr>
        <w:t>ogni altro soggetto legittimato in funzione della normativa di settore.</w:t>
      </w:r>
    </w:p>
    <w:p>
      <w:pPr>
        <w:pStyle w:val="Normal"/>
        <w:spacing w:lineRule="auto" w:line="240" w:before="0" w:after="0"/>
        <w:jc w:val="both"/>
        <w:rPr>
          <w:sz w:val="24"/>
          <w:szCs w:val="24"/>
        </w:rPr>
      </w:pPr>
      <w:r>
        <w:rPr>
          <w:sz w:val="24"/>
          <w:szCs w:val="24"/>
        </w:rPr>
        <w:t xml:space="preserve">  </w:t>
      </w:r>
    </w:p>
    <w:p>
      <w:pPr>
        <w:pStyle w:val="Normal"/>
        <w:spacing w:lineRule="auto" w:line="240" w:before="0" w:after="0"/>
        <w:jc w:val="both"/>
        <w:rPr>
          <w:b/>
          <w:b/>
          <w:color w:val="002060"/>
          <w:sz w:val="20"/>
          <w:szCs w:val="20"/>
        </w:rPr>
      </w:pPr>
      <w:r>
        <w:rPr>
          <w:b/>
          <w:color w:val="002060"/>
          <w:sz w:val="20"/>
          <w:szCs w:val="20"/>
        </w:rPr>
        <w:t xml:space="preserve">7. </w:t>
      </w:r>
      <w:r>
        <w:rPr>
          <w:b/>
          <w:color w:val="002060"/>
          <w:sz w:val="20"/>
          <w:szCs w:val="20"/>
          <w:u w:val="single"/>
        </w:rPr>
        <w:t>Trasferimento di dati verso paesi terzi</w:t>
      </w:r>
    </w:p>
    <w:p>
      <w:pPr>
        <w:pStyle w:val="Normal"/>
        <w:spacing w:lineRule="auto" w:line="240" w:before="0" w:after="0"/>
        <w:jc w:val="both"/>
        <w:rPr>
          <w:sz w:val="20"/>
          <w:szCs w:val="20"/>
        </w:rPr>
      </w:pPr>
      <w:r>
        <w:rPr>
          <w:sz w:val="20"/>
          <w:szCs w:val="20"/>
        </w:rPr>
        <w:t>I dati personali non vengono trasferiti a paesi terzi al di fuori dell’Unione Europea o ad organizzazioni internazionali.</w:t>
      </w:r>
    </w:p>
    <w:p>
      <w:pPr>
        <w:pStyle w:val="Normal"/>
        <w:spacing w:lineRule="auto" w:line="240" w:before="0" w:after="0"/>
        <w:jc w:val="both"/>
        <w:rPr>
          <w:sz w:val="20"/>
          <w:szCs w:val="20"/>
        </w:rPr>
      </w:pPr>
      <w:r>
        <w:rPr>
          <w:sz w:val="20"/>
          <w:szCs w:val="20"/>
        </w:rPr>
        <w:t>La Camera di Commercio, tuttavia, in determinati casi può avvalersi, anche per il tramite dei propri Responsabili del trattamento, di società di servizi IT e di comunicazioni telematiche, che potrebbero collocare o far transitare i dati anche in Paesi non appartenenti all’Unione Europea.</w:t>
      </w:r>
    </w:p>
    <w:p>
      <w:pPr>
        <w:pStyle w:val="Normal"/>
        <w:spacing w:lineRule="auto" w:line="240" w:before="0" w:after="0"/>
        <w:jc w:val="both"/>
        <w:rPr>
          <w:sz w:val="20"/>
          <w:szCs w:val="20"/>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color w:val="002060"/>
          <w:sz w:val="20"/>
          <w:szCs w:val="20"/>
        </w:rPr>
      </w:pPr>
      <w:r>
        <w:rPr>
          <w:b/>
          <w:color w:val="002060"/>
          <w:sz w:val="20"/>
          <w:szCs w:val="20"/>
        </w:rPr>
        <w:t xml:space="preserve">8. </w:t>
      </w:r>
      <w:r>
        <w:rPr>
          <w:b/>
          <w:color w:val="002060"/>
          <w:sz w:val="20"/>
          <w:szCs w:val="20"/>
          <w:u w:val="single"/>
        </w:rPr>
        <w:t>Periodo di conservazione</w:t>
      </w:r>
      <w:r>
        <w:rPr>
          <w:b/>
          <w:color w:val="002060"/>
          <w:sz w:val="20"/>
          <w:szCs w:val="20"/>
        </w:rPr>
        <w:t xml:space="preserve"> </w:t>
      </w:r>
    </w:p>
    <w:p>
      <w:pPr>
        <w:pStyle w:val="Normal"/>
        <w:spacing w:lineRule="auto" w:line="240" w:before="0" w:after="0"/>
        <w:jc w:val="both"/>
        <w:rPr>
          <w:sz w:val="20"/>
          <w:szCs w:val="20"/>
        </w:rPr>
      </w:pPr>
      <w:r>
        <w:rPr>
          <w:sz w:val="20"/>
          <w:szCs w:val="20"/>
        </w:rPr>
        <w:t xml:space="preserve">I dati sono conservati per il periodo di tempo previsto dalle specifiche normative di riferimento. Il massimario di scarto delle Camere di Commercio prevede un periodo di conservazione di </w:t>
      </w:r>
      <w:r>
        <w:rPr>
          <w:sz w:val="20"/>
          <w:szCs w:val="20"/>
          <w:shd w:fill="auto" w:val="clear"/>
        </w:rPr>
        <w:t xml:space="preserve">10 (dieci) anni </w:t>
      </w:r>
      <w:r>
        <w:rPr>
          <w:sz w:val="20"/>
          <w:szCs w:val="20"/>
        </w:rPr>
        <w:t>degli elenchi dei protesti. Trascorso tale periodo i dati saranno avviati allo scarto, nel rispetto della normativa vigente, salvo che non ne sia necessaria la conservazione per altre e diverse finalità previste per espressa previsione di legge.</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color w:val="002060"/>
          <w:sz w:val="20"/>
          <w:szCs w:val="20"/>
          <w:u w:val="single"/>
        </w:rPr>
      </w:pPr>
      <w:r>
        <w:rPr>
          <w:b/>
          <w:color w:val="002060"/>
          <w:sz w:val="20"/>
          <w:szCs w:val="20"/>
        </w:rPr>
        <w:t xml:space="preserve">9. </w:t>
      </w:r>
      <w:r>
        <w:rPr>
          <w:b/>
          <w:color w:val="002060"/>
          <w:sz w:val="20"/>
          <w:szCs w:val="20"/>
          <w:u w:val="single"/>
        </w:rPr>
        <w:t xml:space="preserve">Diritti dell’interessato e forme di tutela </w:t>
      </w:r>
    </w:p>
    <w:p>
      <w:pPr>
        <w:pStyle w:val="Normal"/>
        <w:spacing w:lineRule="auto" w:line="240" w:before="0" w:after="0"/>
        <w:jc w:val="both"/>
        <w:rPr>
          <w:sz w:val="20"/>
          <w:szCs w:val="20"/>
        </w:rPr>
      </w:pPr>
      <w:r>
        <w:rPr>
          <w:sz w:val="20"/>
          <w:szCs w:val="20"/>
        </w:rPr>
        <w:t>Il Regolamento (UE) 2016/679 le riconosce, in qualità di Interessato, diversi diritti, che può esercitare contattando il Titolare o il DPO/RPD ai recapiti di cui ai parr. 1 e 2 della presente informativa.</w:t>
      </w:r>
    </w:p>
    <w:p>
      <w:pPr>
        <w:pStyle w:val="Normal"/>
        <w:spacing w:lineRule="auto" w:line="240" w:before="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Normal"/>
        <w:numPr>
          <w:ilvl w:val="0"/>
          <w:numId w:val="3"/>
        </w:numPr>
        <w:spacing w:lineRule="auto" w:line="240" w:before="0" w:after="0"/>
        <w:ind w:left="426" w:hanging="284"/>
        <w:jc w:val="both"/>
        <w:rPr>
          <w:sz w:val="20"/>
          <w:szCs w:val="20"/>
        </w:rPr>
      </w:pPr>
      <w:r>
        <w:rPr>
          <w:sz w:val="20"/>
          <w:szCs w:val="20"/>
        </w:rPr>
        <w:t xml:space="preserve">il diritto di conoscere se la Camera di Commercio ha in corso trattamenti di dati personali che la riguardano e, in tal caso, di avere accesso ai dati oggetto del trattamento e a tutte le informazioni a questo relative; </w:t>
      </w:r>
    </w:p>
    <w:p>
      <w:pPr>
        <w:pStyle w:val="Normal"/>
        <w:numPr>
          <w:ilvl w:val="0"/>
          <w:numId w:val="3"/>
        </w:numPr>
        <w:spacing w:lineRule="auto" w:line="240" w:before="0" w:after="0"/>
        <w:ind w:left="426" w:hanging="284"/>
        <w:jc w:val="both"/>
        <w:rPr>
          <w:sz w:val="20"/>
          <w:szCs w:val="20"/>
        </w:rPr>
      </w:pPr>
      <w:r>
        <w:rPr>
          <w:sz w:val="20"/>
          <w:szCs w:val="20"/>
        </w:rPr>
        <w:t>il diritto alla rettifica dei dati personali inesatti che la riguardano e/o all’integrazione di quelli incompleti;</w:t>
      </w:r>
    </w:p>
    <w:p>
      <w:pPr>
        <w:pStyle w:val="Normal"/>
        <w:numPr>
          <w:ilvl w:val="0"/>
          <w:numId w:val="3"/>
        </w:numPr>
        <w:spacing w:lineRule="auto" w:line="240" w:before="0" w:after="0"/>
        <w:ind w:left="426" w:hanging="284"/>
        <w:jc w:val="both"/>
        <w:rPr>
          <w:sz w:val="20"/>
          <w:szCs w:val="20"/>
        </w:rPr>
      </w:pPr>
      <w:r>
        <w:rPr>
          <w:sz w:val="20"/>
          <w:szCs w:val="20"/>
        </w:rPr>
        <w:t>il diritto alla cancellazione dei dati personali che la riguardano;</w:t>
      </w:r>
    </w:p>
    <w:p>
      <w:pPr>
        <w:pStyle w:val="Normal"/>
        <w:numPr>
          <w:ilvl w:val="0"/>
          <w:numId w:val="3"/>
        </w:numPr>
        <w:spacing w:lineRule="auto" w:line="240" w:before="0" w:after="0"/>
        <w:ind w:left="426" w:hanging="284"/>
        <w:jc w:val="both"/>
        <w:rPr>
          <w:sz w:val="20"/>
          <w:szCs w:val="20"/>
        </w:rPr>
      </w:pPr>
      <w:r>
        <w:rPr>
          <w:sz w:val="20"/>
          <w:szCs w:val="20"/>
        </w:rPr>
        <w:t>il diritto alla limitazione del trattamento;</w:t>
      </w:r>
    </w:p>
    <w:p>
      <w:pPr>
        <w:pStyle w:val="Normal"/>
        <w:numPr>
          <w:ilvl w:val="0"/>
          <w:numId w:val="3"/>
        </w:numPr>
        <w:spacing w:lineRule="auto" w:line="240" w:before="0" w:after="0"/>
        <w:ind w:left="426" w:hanging="284"/>
        <w:jc w:val="both"/>
        <w:rPr>
          <w:sz w:val="20"/>
          <w:szCs w:val="20"/>
        </w:rPr>
      </w:pPr>
      <w:r>
        <w:rPr>
          <w:sz w:val="20"/>
          <w:szCs w:val="20"/>
        </w:rPr>
        <w:t>il diritto di opporsi al trattamento;</w:t>
      </w:r>
    </w:p>
    <w:p>
      <w:pPr>
        <w:pStyle w:val="Normal"/>
        <w:numPr>
          <w:ilvl w:val="0"/>
          <w:numId w:val="3"/>
        </w:numPr>
        <w:spacing w:lineRule="auto" w:line="240" w:before="0" w:after="0"/>
        <w:ind w:left="426" w:hanging="284"/>
        <w:jc w:val="both"/>
        <w:rPr>
          <w:sz w:val="20"/>
          <w:szCs w:val="20"/>
        </w:rPr>
      </w:pPr>
      <w:r>
        <w:rPr>
          <w:sz w:val="20"/>
          <w:szCs w:val="20"/>
        </w:rPr>
        <w:t>il diritto alla portabilità dei dati personali che la riguardano;</w:t>
      </w:r>
    </w:p>
    <w:p>
      <w:pPr>
        <w:pStyle w:val="Normal"/>
        <w:numPr>
          <w:ilvl w:val="0"/>
          <w:numId w:val="3"/>
        </w:numPr>
        <w:spacing w:lineRule="auto" w:line="240" w:before="0" w:after="120"/>
        <w:ind w:left="426" w:hanging="284"/>
        <w:jc w:val="both"/>
        <w:rPr>
          <w:sz w:val="20"/>
          <w:szCs w:val="20"/>
        </w:rPr>
      </w:pPr>
      <w:r>
        <w:rPr>
          <w:sz w:val="20"/>
          <w:szCs w:val="20"/>
        </w:rPr>
        <w:t>il diritto di revocare il consenso in qualsiasi momento, senza che ciò pregiudichi la liceità del trattamento, basato sul consenso, effettuato prima della revoca.</w:t>
      </w:r>
    </w:p>
    <w:p>
      <w:pPr>
        <w:pStyle w:val="Normal"/>
        <w:spacing w:lineRule="auto" w:line="240" w:before="0" w:after="0"/>
        <w:jc w:val="both"/>
        <w:rPr>
          <w:sz w:val="20"/>
          <w:szCs w:val="20"/>
        </w:rPr>
      </w:pPr>
      <w:r>
        <w:rPr>
          <w:sz w:val="20"/>
          <w:szCs w:val="20"/>
        </w:rPr>
        <w:t xml:space="preserve">In ogni caso, ricorrendone i presupposti, Lei ha anche il diritto di presentare un formale Reclamo all’Autorità garante per la protezione dei dati personali, secondo le modalità che può reperire sul sito </w:t>
      </w:r>
      <w:hyperlink r:id="rId5">
        <w:r>
          <w:rPr>
            <w:color w:val="0000FF"/>
            <w:sz w:val="20"/>
            <w:szCs w:val="20"/>
            <w:u w:val="single"/>
          </w:rPr>
          <w:t>www.garanteprivacy.it</w:t>
        </w:r>
      </w:hyperlink>
      <w:r>
        <w:rPr>
          <w:sz w:val="20"/>
          <w:szCs w:val="20"/>
          <w:u w:val="single"/>
        </w:rPr>
        <w:t xml:space="preserve"> </w:t>
      </w:r>
      <w:r>
        <w:rPr>
          <w:sz w:val="20"/>
          <w:szCs w:val="20"/>
        </w:rPr>
        <w:t>.</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sz w:val="20"/>
          <w:szCs w:val="20"/>
        </w:rPr>
      </w:r>
      <w:bookmarkStart w:id="4" w:name="_heading=h.gjdgxs"/>
      <w:bookmarkStart w:id="5" w:name="_heading=h.gjdgxs"/>
      <w:bookmarkEnd w:id="5"/>
    </w:p>
    <w:p>
      <w:pPr>
        <w:pStyle w:val="Normal"/>
        <w:spacing w:lineRule="auto" w:line="240" w:before="0" w:after="0"/>
        <w:jc w:val="both"/>
        <w:rPr>
          <w:i/>
          <w:i/>
          <w:sz w:val="20"/>
          <w:szCs w:val="20"/>
        </w:rPr>
      </w:pPr>
      <w:r>
        <w:rPr>
          <w:i/>
          <w:sz w:val="20"/>
          <w:szCs w:val="20"/>
        </w:rPr>
        <w:t>Questa informativa è stata aggiornata dal Servizio Regolazione del Mercato in data 3 febbraio 2021.</w:t>
      </w:r>
    </w:p>
    <w:sectPr>
      <w:headerReference w:type="default" r:id="rId6"/>
      <w:footerReference w:type="default" r:id="rId7"/>
      <w:type w:val="nextPage"/>
      <w:pgSz w:w="11906" w:h="16838"/>
      <w:pgMar w:left="1134" w:right="1134" w:header="397" w:top="1985" w:footer="227"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Fedra Sans">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ind w:left="567" w:hanging="0"/>
      <w:rPr>
        <w:color w:val="071D49"/>
        <w:sz w:val="18"/>
        <w:szCs w:val="18"/>
      </w:rPr>
    </w:pPr>
    <w:r>
      <w:rPr>
        <w:color w:val="071D49"/>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ind w:left="6372" w:hanging="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2bd0"/>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customStyle="1">
    <w:name w:val="Heading 1"/>
    <w:basedOn w:val="Normal1"/>
    <w:next w:val="Normal"/>
    <w:qFormat/>
    <w:rsid w:val="003244bb"/>
    <w:pPr>
      <w:keepNext w:val="true"/>
      <w:keepLines/>
      <w:spacing w:before="480" w:after="120"/>
      <w:outlineLvl w:val="0"/>
    </w:pPr>
    <w:rPr>
      <w:b/>
      <w:sz w:val="48"/>
      <w:szCs w:val="48"/>
    </w:rPr>
  </w:style>
  <w:style w:type="paragraph" w:styleId="Titolo2" w:customStyle="1">
    <w:name w:val="Heading 2"/>
    <w:basedOn w:val="Normal1"/>
    <w:next w:val="Normal"/>
    <w:qFormat/>
    <w:rsid w:val="003244bb"/>
    <w:pPr>
      <w:keepNext w:val="true"/>
      <w:keepLines/>
      <w:spacing w:before="360" w:after="80"/>
      <w:outlineLvl w:val="1"/>
    </w:pPr>
    <w:rPr>
      <w:b/>
      <w:sz w:val="36"/>
      <w:szCs w:val="36"/>
    </w:rPr>
  </w:style>
  <w:style w:type="paragraph" w:styleId="Titolo3" w:customStyle="1">
    <w:name w:val="Heading 3"/>
    <w:basedOn w:val="Normal1"/>
    <w:next w:val="Normal"/>
    <w:qFormat/>
    <w:rsid w:val="003244bb"/>
    <w:pPr>
      <w:keepNext w:val="true"/>
      <w:keepLines/>
      <w:spacing w:before="280" w:after="80"/>
      <w:outlineLvl w:val="2"/>
    </w:pPr>
    <w:rPr>
      <w:b/>
      <w:sz w:val="28"/>
      <w:szCs w:val="28"/>
    </w:rPr>
  </w:style>
  <w:style w:type="paragraph" w:styleId="Titolo4" w:customStyle="1">
    <w:name w:val="Heading 4"/>
    <w:basedOn w:val="Normal1"/>
    <w:next w:val="Normal"/>
    <w:qFormat/>
    <w:rsid w:val="003244bb"/>
    <w:pPr>
      <w:keepNext w:val="true"/>
      <w:keepLines/>
      <w:spacing w:before="240" w:after="40"/>
      <w:outlineLvl w:val="3"/>
    </w:pPr>
    <w:rPr>
      <w:b/>
      <w:sz w:val="24"/>
      <w:szCs w:val="24"/>
    </w:rPr>
  </w:style>
  <w:style w:type="paragraph" w:styleId="Titolo5" w:customStyle="1">
    <w:name w:val="Heading 5"/>
    <w:basedOn w:val="Normal1"/>
    <w:next w:val="Normal"/>
    <w:qFormat/>
    <w:rsid w:val="003244bb"/>
    <w:pPr>
      <w:keepNext w:val="true"/>
      <w:keepLines/>
      <w:spacing w:before="220" w:after="40"/>
      <w:outlineLvl w:val="4"/>
    </w:pPr>
    <w:rPr>
      <w:b/>
    </w:rPr>
  </w:style>
  <w:style w:type="paragraph" w:styleId="Titolo6" w:customStyle="1">
    <w:name w:val="Heading 6"/>
    <w:basedOn w:val="Normal1"/>
    <w:next w:val="Normal"/>
    <w:qFormat/>
    <w:rsid w:val="003244bb"/>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0c7b13"/>
    <w:rPr/>
  </w:style>
  <w:style w:type="character" w:styleId="PidipaginaCarattere" w:customStyle="1">
    <w:name w:val="Piè di pagina Carattere"/>
    <w:basedOn w:val="DefaultParagraphFont"/>
    <w:link w:val="Footer"/>
    <w:qFormat/>
    <w:rsid w:val="000c7b13"/>
    <w:rPr/>
  </w:style>
  <w:style w:type="character" w:styleId="TestofumettoCarattere" w:customStyle="1">
    <w:name w:val="Testo fumetto Carattere"/>
    <w:basedOn w:val="DefaultParagraphFont"/>
    <w:link w:val="Testofumetto"/>
    <w:uiPriority w:val="99"/>
    <w:semiHidden/>
    <w:qFormat/>
    <w:rsid w:val="000c7b13"/>
    <w:rPr>
      <w:rFonts w:ascii="Tahoma" w:hAnsi="Tahoma" w:cs="Tahoma"/>
      <w:sz w:val="16"/>
      <w:szCs w:val="16"/>
    </w:rPr>
  </w:style>
  <w:style w:type="character" w:styleId="CollegamentoInternet" w:customStyle="1">
    <w:name w:val="Collegamento Internet"/>
    <w:rsid w:val="000c7b13"/>
    <w:rPr>
      <w:color w:val="0000FF"/>
      <w:u w:val="single"/>
    </w:rPr>
  </w:style>
  <w:style w:type="character" w:styleId="FedraCarattere" w:customStyle="1">
    <w:name w:val="Fedra Carattere"/>
    <w:basedOn w:val="DefaultParagraphFont"/>
    <w:link w:val="Fedra"/>
    <w:qFormat/>
    <w:rsid w:val="007006e3"/>
    <w:rPr>
      <w:rFonts w:ascii="Fedra Sans" w:hAnsi="Fedra Sans" w:eastAsia="Calibri" w:cs="Calibri"/>
      <w:sz w:val="20"/>
      <w:szCs w:val="20"/>
      <w:lang w:eastAsia="en-US"/>
    </w:rPr>
  </w:style>
  <w:style w:type="character" w:styleId="Anchorantimarker" w:customStyle="1">
    <w:name w:val="anchor_anti_marker"/>
    <w:basedOn w:val="DefaultParagraphFont"/>
    <w:qFormat/>
    <w:rsid w:val="00356ce4"/>
    <w:rPr/>
  </w:style>
  <w:style w:type="character" w:styleId="Punti" w:customStyle="1">
    <w:name w:val="Punti"/>
    <w:qFormat/>
    <w:rsid w:val="003244bb"/>
    <w:rPr>
      <w:rFonts w:ascii="OpenSymbol" w:hAnsi="OpenSymbol" w:eastAsia="OpenSymbol" w:cs="OpenSymbol"/>
    </w:rPr>
  </w:style>
  <w:style w:type="character" w:styleId="CollegamentoInternetvisitato" w:customStyle="1">
    <w:name w:val="Collegamento Internet visitato"/>
    <w:rsid w:val="003244bb"/>
    <w:rPr>
      <w:color w:val="80000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rsid w:val="003244bb"/>
    <w:pPr>
      <w:spacing w:before="0" w:after="140"/>
    </w:pPr>
    <w:rPr/>
  </w:style>
  <w:style w:type="paragraph" w:styleId="Elenco">
    <w:name w:val="List"/>
    <w:basedOn w:val="Corpodeltesto"/>
    <w:rsid w:val="003244bb"/>
    <w:pPr/>
    <w:rPr>
      <w:rFonts w:cs="Arial Unicode MS"/>
    </w:rPr>
  </w:style>
  <w:style w:type="paragraph" w:styleId="Didascalia" w:customStyle="1">
    <w:name w:val="Caption"/>
    <w:basedOn w:val="Normal"/>
    <w:qFormat/>
    <w:rsid w:val="003244bb"/>
    <w:pPr>
      <w:suppressLineNumbers/>
      <w:spacing w:before="120" w:after="120"/>
    </w:pPr>
    <w:rPr>
      <w:rFonts w:cs="Arial Unicode MS"/>
      <w:i/>
      <w:iCs/>
      <w:sz w:val="24"/>
      <w:szCs w:val="24"/>
    </w:rPr>
  </w:style>
  <w:style w:type="paragraph" w:styleId="Indice" w:customStyle="1">
    <w:name w:val="Indice"/>
    <w:basedOn w:val="Normal"/>
    <w:qFormat/>
    <w:rsid w:val="003244bb"/>
    <w:pPr>
      <w:suppressLineNumbers/>
    </w:pPr>
    <w:rPr>
      <w:rFonts w:cs="Arial Unicode MS"/>
    </w:rPr>
  </w:style>
  <w:style w:type="paragraph" w:styleId="Normal1" w:customStyle="1">
    <w:name w:val="LO-normal"/>
    <w:qFormat/>
    <w:rsid w:val="003244bb"/>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principale">
    <w:name w:val="Title"/>
    <w:basedOn w:val="Normal"/>
    <w:next w:val="Corpodeltesto"/>
    <w:qFormat/>
    <w:rsid w:val="003244bb"/>
    <w:pPr>
      <w:keepNext w:val="true"/>
      <w:keepLines/>
      <w:spacing w:before="480" w:after="120"/>
    </w:pPr>
    <w:rPr>
      <w:b/>
      <w:sz w:val="72"/>
      <w:szCs w:val="72"/>
    </w:rPr>
  </w:style>
  <w:style w:type="paragraph" w:styleId="Intestazioneepidipagina" w:customStyle="1">
    <w:name w:val="Intestazione e piè di pagina"/>
    <w:basedOn w:val="Normal"/>
    <w:qFormat/>
    <w:rsid w:val="003244bb"/>
    <w:pPr/>
    <w:rPr/>
  </w:style>
  <w:style w:type="paragraph" w:styleId="Intestazione" w:customStyle="1">
    <w:name w:val="Header"/>
    <w:basedOn w:val="Normal"/>
    <w:link w:val="IntestazioneCarattere"/>
    <w:uiPriority w:val="99"/>
    <w:unhideWhenUsed/>
    <w:rsid w:val="000c7b13"/>
    <w:pPr>
      <w:tabs>
        <w:tab w:val="clear" w:pos="720"/>
        <w:tab w:val="center" w:pos="4819" w:leader="none"/>
        <w:tab w:val="right" w:pos="9638" w:leader="none"/>
      </w:tabs>
      <w:spacing w:lineRule="auto" w:line="240" w:before="0" w:after="0"/>
    </w:pPr>
    <w:rPr/>
  </w:style>
  <w:style w:type="paragraph" w:styleId="Pidipagina" w:customStyle="1">
    <w:name w:val="Footer"/>
    <w:basedOn w:val="Normal"/>
    <w:link w:val="PidipaginaCarattere"/>
    <w:unhideWhenUsed/>
    <w:rsid w:val="000c7b13"/>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0c7b13"/>
    <w:pPr>
      <w:spacing w:lineRule="auto" w:line="240" w:before="0" w:after="0"/>
    </w:pPr>
    <w:rPr>
      <w:rFonts w:ascii="Tahoma" w:hAnsi="Tahoma" w:cs="Tahoma"/>
      <w:sz w:val="16"/>
      <w:szCs w:val="16"/>
    </w:rPr>
  </w:style>
  <w:style w:type="paragraph" w:styleId="Fedra" w:customStyle="1">
    <w:name w:val="Fedra"/>
    <w:basedOn w:val="Normal"/>
    <w:link w:val="FedraCarattere"/>
    <w:qFormat/>
    <w:rsid w:val="007006e3"/>
    <w:pPr>
      <w:tabs>
        <w:tab w:val="clear" w:pos="720"/>
        <w:tab w:val="left" w:pos="5670" w:leader="none"/>
      </w:tabs>
      <w:suppressAutoHyphens w:val="true"/>
      <w:spacing w:lineRule="exact" w:line="300" w:before="0" w:after="0"/>
      <w:textAlignment w:val="baseline"/>
    </w:pPr>
    <w:rPr>
      <w:rFonts w:ascii="Fedra Sans" w:hAnsi="Fedra Sans"/>
      <w:sz w:val="20"/>
      <w:szCs w:val="20"/>
      <w:lang w:eastAsia="en-US"/>
    </w:rPr>
  </w:style>
  <w:style w:type="paragraph" w:styleId="ListParagraph">
    <w:name w:val="List Paragraph"/>
    <w:basedOn w:val="Normal"/>
    <w:uiPriority w:val="34"/>
    <w:qFormat/>
    <w:rsid w:val="008d1eab"/>
    <w:pPr>
      <w:spacing w:lineRule="auto" w:line="240" w:before="0" w:after="0"/>
      <w:ind w:left="720" w:hanging="0"/>
      <w:contextualSpacing/>
    </w:pPr>
    <w:rPr>
      <w:sz w:val="24"/>
      <w:szCs w:val="24"/>
    </w:rPr>
  </w:style>
  <w:style w:type="paragraph" w:styleId="Sottotitolo">
    <w:name w:val="Subtitle"/>
    <w:basedOn w:val="Normal"/>
    <w:next w:val="Normal"/>
    <w:qFormat/>
    <w:rsid w:val="003244bb"/>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3244bb"/>
    <w:tblPr>
      <w:tblCellMar>
        <w:top w:w="0" w:type="dxa"/>
        <w:left w:w="0" w:type="dxa"/>
        <w:bottom w:w="0" w:type="dxa"/>
        <w:right w:w="0" w:type="dxa"/>
      </w:tblCellMar>
    </w:tblPr>
  </w:style>
  <w:style w:type="table" w:customStyle="1" w:styleId="TableNormal0">
    <w:name w:val="Table Normal"/>
    <w:rsid w:val="003244bb"/>
    <w:tblPr>
      <w:tblCellMar>
        <w:top w:w="0" w:type="dxa"/>
        <w:left w:w="0" w:type="dxa"/>
        <w:bottom w:w="0" w:type="dxa"/>
        <w:right w:w="0" w:type="dxa"/>
      </w:tblCellMar>
    </w:tblPr>
  </w:style>
  <w:style w:type="table" w:styleId="Grigliatabella">
    <w:name w:val="Table Grid"/>
    <w:basedOn w:val="Tabellanormale"/>
    <w:uiPriority w:val="59"/>
    <w:rsid w:val="00a04a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greteria.generale@br.camcom.it" TargetMode="External"/><Relationship Id="rId4" Type="http://schemas.openxmlformats.org/officeDocument/2006/relationships/hyperlink" Target="mailto:cciaa@br.legalmail.camcom.it" TargetMode="External"/><Relationship Id="rId5" Type="http://schemas.openxmlformats.org/officeDocument/2006/relationships/hyperlink" Target="http://www.garanteprivacy.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0JDHzj+ll1pxDg/OlW2I1TF8Wdg==">AMUW2mWU97/hI/fFYwToLRiaPXG9PrNJmvJZiZa5+95kaQrl3HV10Ocx997nGA0da67xQ+hKkK36ye3TTRMORQyHZxbntL3F8P1JA7AMQkvcMXHLMzELNH0yYRdWj37h6W8UZDsgCB81qOlLSu3eU7UCrT1ILyyYszx9QWbWxzjKQeQj/XCZRWs=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LibreOffice/7.0.2.2$Windows_X86_64 LibreOffice_project/8349ace3c3162073abd90d81fd06dcfb6b36b994</Application>
  <Pages>2</Pages>
  <Words>1091</Words>
  <Characters>6292</Characters>
  <CharactersWithSpaces>7338</CharactersWithSpaces>
  <Paragraphs>50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2021-02-05T08:00:00Z</dcterms:created>
  <dc:creator>LEVANTACI</dc:creator>
  <dc:description/>
  <dc:language>it-IT</dc:language>
  <cp:lastModifiedBy/>
  <dcterms:modified xsi:type="dcterms:W3CDTF">2021-02-05T10:38:16Z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