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911C" w14:textId="77777777" w:rsidR="0051373C" w:rsidRDefault="0051373C"/>
    <w:p w14:paraId="118DADA0" w14:textId="77777777" w:rsidR="00167F06" w:rsidRDefault="00167F06" w:rsidP="00167F06">
      <w:pPr>
        <w:jc w:val="center"/>
        <w:rPr>
          <w:rFonts w:ascii="Times New Roman" w:hAnsi="Times New Roman" w:cs="Times New Roman"/>
          <w:b/>
          <w:sz w:val="28"/>
          <w:szCs w:val="28"/>
        </w:rPr>
      </w:pPr>
      <w:r w:rsidRPr="00167F06">
        <w:rPr>
          <w:rFonts w:ascii="Times New Roman" w:hAnsi="Times New Roman" w:cs="Times New Roman"/>
          <w:b/>
          <w:sz w:val="28"/>
          <w:szCs w:val="28"/>
        </w:rPr>
        <w:t>RELAZIONE ILLUSTRATIVA</w:t>
      </w:r>
    </w:p>
    <w:p w14:paraId="034A8D6C" w14:textId="77777777" w:rsidR="00167F06" w:rsidRPr="007355DC" w:rsidRDefault="00167F06" w:rsidP="00167F06">
      <w:pPr>
        <w:rPr>
          <w:rFonts w:ascii="Times New Roman" w:hAnsi="Times New Roman" w:cs="Times New Roman"/>
          <w:b/>
        </w:rPr>
      </w:pPr>
      <w:r w:rsidRPr="007355DC">
        <w:rPr>
          <w:rFonts w:ascii="Times New Roman" w:hAnsi="Times New Roman" w:cs="Times New Roman"/>
          <w:b/>
        </w:rPr>
        <w:t>Modulo 1- Illustrazione degli aspetti procedurali e sintesi del contenuto del contratto</w:t>
      </w:r>
    </w:p>
    <w:tbl>
      <w:tblPr>
        <w:tblStyle w:val="Grigliatabella"/>
        <w:tblW w:w="0" w:type="auto"/>
        <w:tblLook w:val="04A0" w:firstRow="1" w:lastRow="0" w:firstColumn="1" w:lastColumn="0" w:noHBand="0" w:noVBand="1"/>
      </w:tblPr>
      <w:tblGrid>
        <w:gridCol w:w="2510"/>
        <w:gridCol w:w="2381"/>
        <w:gridCol w:w="4737"/>
      </w:tblGrid>
      <w:tr w:rsidR="00167F06" w:rsidRPr="007355DC" w14:paraId="74D8C60F" w14:textId="77777777" w:rsidTr="00176783">
        <w:tc>
          <w:tcPr>
            <w:tcW w:w="4891" w:type="dxa"/>
            <w:gridSpan w:val="2"/>
          </w:tcPr>
          <w:p w14:paraId="5E2027D9" w14:textId="77777777" w:rsidR="00167F06" w:rsidRPr="007355DC" w:rsidRDefault="00F84FE9" w:rsidP="00167F06">
            <w:pPr>
              <w:rPr>
                <w:rFonts w:ascii="Times New Roman" w:hAnsi="Times New Roman" w:cs="Times New Roman"/>
                <w:b/>
              </w:rPr>
            </w:pPr>
            <w:r>
              <w:rPr>
                <w:rFonts w:ascii="Times New Roman" w:hAnsi="Times New Roman" w:cs="Times New Roman"/>
                <w:b/>
              </w:rPr>
              <w:t>Data di sottoscrizione ipotesi</w:t>
            </w:r>
          </w:p>
        </w:tc>
        <w:tc>
          <w:tcPr>
            <w:tcW w:w="4737" w:type="dxa"/>
          </w:tcPr>
          <w:p w14:paraId="12A591D8" w14:textId="5665FC2C" w:rsidR="00167F06" w:rsidRPr="001761FC" w:rsidRDefault="00D76E8F" w:rsidP="00E87499">
            <w:pPr>
              <w:rPr>
                <w:rFonts w:ascii="Times New Roman" w:hAnsi="Times New Roman" w:cs="Times New Roman"/>
              </w:rPr>
            </w:pPr>
            <w:r w:rsidRPr="00B76F5F">
              <w:rPr>
                <w:rFonts w:ascii="Times New Roman" w:hAnsi="Times New Roman" w:cs="Times New Roman"/>
              </w:rPr>
              <w:t>15</w:t>
            </w:r>
            <w:r w:rsidR="00002938" w:rsidRPr="00B76F5F">
              <w:rPr>
                <w:rFonts w:ascii="Times New Roman" w:hAnsi="Times New Roman" w:cs="Times New Roman"/>
              </w:rPr>
              <w:t>/</w:t>
            </w:r>
            <w:r w:rsidRPr="00B76F5F">
              <w:rPr>
                <w:rFonts w:ascii="Times New Roman" w:hAnsi="Times New Roman" w:cs="Times New Roman"/>
              </w:rPr>
              <w:t>02</w:t>
            </w:r>
            <w:r w:rsidR="00002938" w:rsidRPr="00B76F5F">
              <w:rPr>
                <w:rFonts w:ascii="Times New Roman" w:hAnsi="Times New Roman" w:cs="Times New Roman"/>
              </w:rPr>
              <w:t>/</w:t>
            </w:r>
            <w:r w:rsidR="00E72F1E" w:rsidRPr="00B76F5F">
              <w:rPr>
                <w:rFonts w:ascii="Times New Roman" w:hAnsi="Times New Roman" w:cs="Times New Roman"/>
              </w:rPr>
              <w:t>20</w:t>
            </w:r>
            <w:r w:rsidR="00002938" w:rsidRPr="00B76F5F">
              <w:rPr>
                <w:rFonts w:ascii="Times New Roman" w:hAnsi="Times New Roman" w:cs="Times New Roman"/>
              </w:rPr>
              <w:t>2</w:t>
            </w:r>
            <w:r w:rsidRPr="00B76F5F">
              <w:rPr>
                <w:rFonts w:ascii="Times New Roman" w:hAnsi="Times New Roman" w:cs="Times New Roman"/>
              </w:rPr>
              <w:t>4</w:t>
            </w:r>
          </w:p>
        </w:tc>
      </w:tr>
      <w:tr w:rsidR="00167F06" w:rsidRPr="007355DC" w14:paraId="6660A975" w14:textId="77777777" w:rsidTr="00176783">
        <w:tc>
          <w:tcPr>
            <w:tcW w:w="4891" w:type="dxa"/>
            <w:gridSpan w:val="2"/>
          </w:tcPr>
          <w:p w14:paraId="3B332F4D" w14:textId="77777777" w:rsidR="00167F06" w:rsidRPr="007355DC" w:rsidRDefault="00167F06" w:rsidP="00167F06">
            <w:pPr>
              <w:rPr>
                <w:rFonts w:ascii="Times New Roman" w:hAnsi="Times New Roman" w:cs="Times New Roman"/>
                <w:b/>
              </w:rPr>
            </w:pPr>
            <w:r w:rsidRPr="007355DC">
              <w:rPr>
                <w:rFonts w:ascii="Times New Roman" w:hAnsi="Times New Roman" w:cs="Times New Roman"/>
                <w:b/>
              </w:rPr>
              <w:t>Periodo temporale di vigenza</w:t>
            </w:r>
          </w:p>
        </w:tc>
        <w:tc>
          <w:tcPr>
            <w:tcW w:w="4737" w:type="dxa"/>
          </w:tcPr>
          <w:p w14:paraId="35AA6E92" w14:textId="1B9D11CD" w:rsidR="00167F06" w:rsidRPr="00AE1FCE" w:rsidRDefault="00D76E8F" w:rsidP="0022342A">
            <w:pPr>
              <w:jc w:val="both"/>
              <w:rPr>
                <w:rFonts w:ascii="Times New Roman" w:hAnsi="Times New Roman" w:cs="Times New Roman"/>
              </w:rPr>
            </w:pPr>
            <w:r>
              <w:rPr>
                <w:rFonts w:ascii="Times New Roman" w:hAnsi="Times New Roman" w:cs="Times New Roman"/>
              </w:rPr>
              <w:t>Accordo economico c</w:t>
            </w:r>
            <w:r w:rsidRPr="007355DC">
              <w:rPr>
                <w:rFonts w:ascii="Times New Roman" w:hAnsi="Times New Roman" w:cs="Times New Roman"/>
              </w:rPr>
              <w:t>oncerne il periodo 1/01/20</w:t>
            </w:r>
            <w:r>
              <w:rPr>
                <w:rFonts w:ascii="Times New Roman" w:hAnsi="Times New Roman" w:cs="Times New Roman"/>
              </w:rPr>
              <w:t>24</w:t>
            </w:r>
            <w:r w:rsidRPr="007355DC">
              <w:rPr>
                <w:rFonts w:ascii="Times New Roman" w:hAnsi="Times New Roman" w:cs="Times New Roman"/>
              </w:rPr>
              <w:t>- 31/12/20</w:t>
            </w:r>
            <w:r>
              <w:rPr>
                <w:rFonts w:ascii="Times New Roman" w:hAnsi="Times New Roman" w:cs="Times New Roman"/>
              </w:rPr>
              <w:t>24 nell’ambito del Contratto Decentrato Integrativo Triennio 2023/2025 sottoscritto il 27/12/2023</w:t>
            </w:r>
            <w:r w:rsidRPr="007355DC">
              <w:rPr>
                <w:rFonts w:ascii="Times New Roman" w:hAnsi="Times New Roman" w:cs="Times New Roman"/>
              </w:rPr>
              <w:t xml:space="preserve"> per le parti ad esso delegate dai CCNL vigenti. Sono fatte salve le materie che, per loro natura, richiedono tempi diversi o verifiche periodiche essendo legate a fattori organizzativi contingenti o collegate al naturale sviluppo dell’organizzazione stessa</w:t>
            </w:r>
            <w:r>
              <w:rPr>
                <w:rFonts w:ascii="Times New Roman" w:hAnsi="Times New Roman" w:cs="Times New Roman"/>
              </w:rPr>
              <w:t>.</w:t>
            </w:r>
          </w:p>
        </w:tc>
      </w:tr>
      <w:tr w:rsidR="00167F06" w:rsidRPr="007355DC" w14:paraId="3412848A" w14:textId="77777777" w:rsidTr="00176783">
        <w:tc>
          <w:tcPr>
            <w:tcW w:w="4891" w:type="dxa"/>
            <w:gridSpan w:val="2"/>
          </w:tcPr>
          <w:p w14:paraId="2551E637" w14:textId="77777777" w:rsidR="00167F06" w:rsidRPr="007355DC" w:rsidRDefault="00167F06" w:rsidP="00167F06">
            <w:pPr>
              <w:rPr>
                <w:rFonts w:ascii="Times New Roman" w:hAnsi="Times New Roman" w:cs="Times New Roman"/>
                <w:b/>
              </w:rPr>
            </w:pPr>
          </w:p>
          <w:p w14:paraId="51F9975C" w14:textId="77777777" w:rsidR="00167F06" w:rsidRPr="007355DC" w:rsidRDefault="00167F06" w:rsidP="00167F06">
            <w:pPr>
              <w:rPr>
                <w:rFonts w:ascii="Times New Roman" w:hAnsi="Times New Roman" w:cs="Times New Roman"/>
                <w:b/>
              </w:rPr>
            </w:pPr>
          </w:p>
          <w:p w14:paraId="6F3073EB" w14:textId="77777777" w:rsidR="00167F06" w:rsidRPr="007355DC" w:rsidRDefault="00167F06" w:rsidP="00167F06">
            <w:pPr>
              <w:rPr>
                <w:rFonts w:ascii="Times New Roman" w:hAnsi="Times New Roman" w:cs="Times New Roman"/>
                <w:b/>
              </w:rPr>
            </w:pPr>
            <w:r w:rsidRPr="007355DC">
              <w:rPr>
                <w:rFonts w:ascii="Times New Roman" w:hAnsi="Times New Roman" w:cs="Times New Roman"/>
                <w:b/>
              </w:rPr>
              <w:t>Composizione</w:t>
            </w:r>
          </w:p>
          <w:p w14:paraId="30DBF3DC" w14:textId="77777777" w:rsidR="00167F06" w:rsidRPr="007355DC" w:rsidRDefault="00167F06" w:rsidP="00167F06">
            <w:pPr>
              <w:rPr>
                <w:rFonts w:ascii="Times New Roman" w:hAnsi="Times New Roman" w:cs="Times New Roman"/>
                <w:b/>
              </w:rPr>
            </w:pPr>
            <w:proofErr w:type="gramStart"/>
            <w:r w:rsidRPr="007355DC">
              <w:rPr>
                <w:rFonts w:ascii="Times New Roman" w:hAnsi="Times New Roman" w:cs="Times New Roman"/>
                <w:b/>
              </w:rPr>
              <w:t>della  delegazione</w:t>
            </w:r>
            <w:proofErr w:type="gramEnd"/>
            <w:r w:rsidRPr="007355DC">
              <w:rPr>
                <w:rFonts w:ascii="Times New Roman" w:hAnsi="Times New Roman" w:cs="Times New Roman"/>
                <w:b/>
              </w:rPr>
              <w:t xml:space="preserve"> trattante</w:t>
            </w:r>
          </w:p>
          <w:p w14:paraId="01271192" w14:textId="77777777" w:rsidR="00167F06" w:rsidRPr="007355DC" w:rsidRDefault="00167F06" w:rsidP="00167F06">
            <w:pPr>
              <w:rPr>
                <w:rFonts w:ascii="Times New Roman" w:hAnsi="Times New Roman" w:cs="Times New Roman"/>
                <w:b/>
              </w:rPr>
            </w:pPr>
          </w:p>
          <w:p w14:paraId="52D9CEED" w14:textId="77777777" w:rsidR="00167F06" w:rsidRPr="007355DC" w:rsidRDefault="00167F06" w:rsidP="00167F06">
            <w:pPr>
              <w:rPr>
                <w:rFonts w:ascii="Times New Roman" w:hAnsi="Times New Roman" w:cs="Times New Roman"/>
                <w:b/>
              </w:rPr>
            </w:pPr>
          </w:p>
        </w:tc>
        <w:tc>
          <w:tcPr>
            <w:tcW w:w="4737" w:type="dxa"/>
          </w:tcPr>
          <w:p w14:paraId="08E43F7B" w14:textId="77777777" w:rsidR="00167F06" w:rsidRPr="00AE1FCE" w:rsidRDefault="00167F06" w:rsidP="00167F06">
            <w:pPr>
              <w:rPr>
                <w:rFonts w:ascii="Times New Roman" w:hAnsi="Times New Roman" w:cs="Times New Roman"/>
                <w:u w:val="single"/>
              </w:rPr>
            </w:pPr>
            <w:r w:rsidRPr="00AE1FCE">
              <w:rPr>
                <w:rFonts w:ascii="Times New Roman" w:hAnsi="Times New Roman" w:cs="Times New Roman"/>
                <w:u w:val="single"/>
              </w:rPr>
              <w:t>Parte Pubblica</w:t>
            </w:r>
          </w:p>
          <w:p w14:paraId="37640768" w14:textId="77777777" w:rsidR="00167F06" w:rsidRPr="00AE1FCE" w:rsidRDefault="00167F06" w:rsidP="00167F06">
            <w:pPr>
              <w:rPr>
                <w:rFonts w:ascii="Times New Roman" w:hAnsi="Times New Roman" w:cs="Times New Roman"/>
              </w:rPr>
            </w:pPr>
            <w:r w:rsidRPr="00AE1FCE">
              <w:rPr>
                <w:rFonts w:ascii="Times New Roman" w:hAnsi="Times New Roman" w:cs="Times New Roman"/>
              </w:rPr>
              <w:t>Presidente: Segretario generale dell’Ente f.f.</w:t>
            </w:r>
          </w:p>
          <w:p w14:paraId="137D03B1" w14:textId="77777777" w:rsidR="00167F06" w:rsidRPr="00AE1FCE" w:rsidRDefault="00167F06" w:rsidP="00167F06">
            <w:pPr>
              <w:rPr>
                <w:rFonts w:ascii="Times New Roman" w:hAnsi="Times New Roman" w:cs="Times New Roman"/>
                <w:u w:val="single"/>
              </w:rPr>
            </w:pPr>
            <w:r w:rsidRPr="00AE1FCE">
              <w:rPr>
                <w:rFonts w:ascii="Times New Roman" w:hAnsi="Times New Roman" w:cs="Times New Roman"/>
                <w:u w:val="single"/>
              </w:rPr>
              <w:t>Parte Sindacale</w:t>
            </w:r>
          </w:p>
          <w:p w14:paraId="3E0347C9" w14:textId="77777777" w:rsidR="00167F06" w:rsidRPr="00AE1FCE" w:rsidRDefault="00167F06" w:rsidP="00167F06">
            <w:pPr>
              <w:rPr>
                <w:rFonts w:ascii="Times New Roman" w:hAnsi="Times New Roman" w:cs="Times New Roman"/>
              </w:rPr>
            </w:pPr>
            <w:r w:rsidRPr="00AE1FCE">
              <w:rPr>
                <w:rFonts w:ascii="Times New Roman" w:hAnsi="Times New Roman" w:cs="Times New Roman"/>
              </w:rPr>
              <w:t>RSU</w:t>
            </w:r>
          </w:p>
          <w:p w14:paraId="1EE5C37C" w14:textId="77777777" w:rsidR="00167F06" w:rsidRPr="00AE1FCE" w:rsidRDefault="00167F06" w:rsidP="00167F06">
            <w:pPr>
              <w:rPr>
                <w:rFonts w:ascii="Times New Roman" w:hAnsi="Times New Roman" w:cs="Times New Roman"/>
              </w:rPr>
            </w:pPr>
            <w:r w:rsidRPr="00AE1FCE">
              <w:rPr>
                <w:rFonts w:ascii="Times New Roman" w:hAnsi="Times New Roman" w:cs="Times New Roman"/>
              </w:rPr>
              <w:t>Organizzazioni sindacali ammesse alla contrattazione:</w:t>
            </w:r>
          </w:p>
          <w:p w14:paraId="6F89413D" w14:textId="77777777" w:rsidR="00167F06" w:rsidRPr="00AE1FCE" w:rsidRDefault="00907861" w:rsidP="00167F06">
            <w:pPr>
              <w:rPr>
                <w:rFonts w:ascii="Times New Roman" w:hAnsi="Times New Roman" w:cs="Times New Roman"/>
              </w:rPr>
            </w:pPr>
            <w:r w:rsidRPr="00AE1FCE">
              <w:rPr>
                <w:rFonts w:ascii="Times New Roman" w:hAnsi="Times New Roman" w:cs="Times New Roman"/>
              </w:rPr>
              <w:t>FP/CGIL; FP/CISL; CSA</w:t>
            </w:r>
            <w:r w:rsidR="00176783" w:rsidRPr="00AE1FCE">
              <w:rPr>
                <w:rFonts w:ascii="Times New Roman" w:hAnsi="Times New Roman" w:cs="Times New Roman"/>
              </w:rPr>
              <w:t>; UILFPL</w:t>
            </w:r>
            <w:r w:rsidRPr="00AE1FCE">
              <w:rPr>
                <w:rFonts w:ascii="Times New Roman" w:hAnsi="Times New Roman" w:cs="Times New Roman"/>
              </w:rPr>
              <w:t>.</w:t>
            </w:r>
          </w:p>
          <w:p w14:paraId="7F98AF27" w14:textId="77777777" w:rsidR="00167F06" w:rsidRPr="00AE1FCE" w:rsidRDefault="00167F06" w:rsidP="00167F06">
            <w:pPr>
              <w:rPr>
                <w:rFonts w:ascii="Times New Roman" w:hAnsi="Times New Roman" w:cs="Times New Roman"/>
              </w:rPr>
            </w:pPr>
            <w:r w:rsidRPr="00AE1FCE">
              <w:rPr>
                <w:rFonts w:ascii="Times New Roman" w:hAnsi="Times New Roman" w:cs="Times New Roman"/>
              </w:rPr>
              <w:t>Organizzazioni sindacali firmatarie:</w:t>
            </w:r>
          </w:p>
          <w:p w14:paraId="1F845DE3" w14:textId="77777777" w:rsidR="00167F06" w:rsidRPr="00AE1FCE" w:rsidRDefault="00907861" w:rsidP="00167F06">
            <w:pPr>
              <w:rPr>
                <w:rFonts w:ascii="Times New Roman" w:hAnsi="Times New Roman" w:cs="Times New Roman"/>
              </w:rPr>
            </w:pPr>
            <w:r w:rsidRPr="00AE1FCE">
              <w:rPr>
                <w:rFonts w:ascii="Times New Roman" w:hAnsi="Times New Roman" w:cs="Times New Roman"/>
              </w:rPr>
              <w:t>FP/CGIL; FP/CISL</w:t>
            </w:r>
            <w:r w:rsidR="00A8797E" w:rsidRPr="00AE1FCE">
              <w:rPr>
                <w:rFonts w:ascii="Times New Roman" w:hAnsi="Times New Roman" w:cs="Times New Roman"/>
              </w:rPr>
              <w:t xml:space="preserve">; </w:t>
            </w:r>
            <w:r w:rsidR="005F4D02" w:rsidRPr="00AE1FCE">
              <w:rPr>
                <w:rFonts w:ascii="Times New Roman" w:hAnsi="Times New Roman" w:cs="Times New Roman"/>
              </w:rPr>
              <w:t>CSA</w:t>
            </w:r>
            <w:r w:rsidR="00BB6500" w:rsidRPr="00AE1FCE">
              <w:rPr>
                <w:rFonts w:ascii="Times New Roman" w:hAnsi="Times New Roman" w:cs="Times New Roman"/>
              </w:rPr>
              <w:t>.</w:t>
            </w:r>
          </w:p>
        </w:tc>
      </w:tr>
      <w:tr w:rsidR="00167F06" w:rsidRPr="007355DC" w14:paraId="0038120B" w14:textId="77777777" w:rsidTr="00176783">
        <w:tc>
          <w:tcPr>
            <w:tcW w:w="4891" w:type="dxa"/>
            <w:gridSpan w:val="2"/>
          </w:tcPr>
          <w:p w14:paraId="45736904" w14:textId="77777777" w:rsidR="00167F06" w:rsidRPr="007355DC" w:rsidRDefault="00167F06" w:rsidP="00167F06">
            <w:pPr>
              <w:rPr>
                <w:rFonts w:ascii="Times New Roman" w:hAnsi="Times New Roman" w:cs="Times New Roman"/>
                <w:b/>
              </w:rPr>
            </w:pPr>
            <w:r w:rsidRPr="007355DC">
              <w:rPr>
                <w:rFonts w:ascii="Times New Roman" w:hAnsi="Times New Roman" w:cs="Times New Roman"/>
                <w:b/>
              </w:rPr>
              <w:t>Soggetti destinatari</w:t>
            </w:r>
          </w:p>
        </w:tc>
        <w:tc>
          <w:tcPr>
            <w:tcW w:w="4737" w:type="dxa"/>
          </w:tcPr>
          <w:p w14:paraId="779091D8" w14:textId="77777777" w:rsidR="00167F06" w:rsidRPr="00AE1FCE" w:rsidRDefault="0033621C" w:rsidP="00167F06">
            <w:pPr>
              <w:rPr>
                <w:rFonts w:ascii="Times New Roman" w:hAnsi="Times New Roman" w:cs="Times New Roman"/>
              </w:rPr>
            </w:pPr>
            <w:r w:rsidRPr="00AE1FCE">
              <w:rPr>
                <w:rFonts w:ascii="Times New Roman" w:hAnsi="Times New Roman" w:cs="Times New Roman"/>
              </w:rPr>
              <w:t>Personale dell’Ente</w:t>
            </w:r>
            <w:r w:rsidR="000864A2" w:rsidRPr="00AE1FCE">
              <w:rPr>
                <w:rFonts w:ascii="Times New Roman" w:hAnsi="Times New Roman" w:cs="Times New Roman"/>
              </w:rPr>
              <w:t xml:space="preserve"> </w:t>
            </w:r>
          </w:p>
        </w:tc>
      </w:tr>
      <w:tr w:rsidR="00176783" w:rsidRPr="007355DC" w14:paraId="4BB49032" w14:textId="77777777" w:rsidTr="00176783">
        <w:tc>
          <w:tcPr>
            <w:tcW w:w="4891" w:type="dxa"/>
            <w:gridSpan w:val="2"/>
          </w:tcPr>
          <w:p w14:paraId="0218EC2B" w14:textId="77777777" w:rsidR="00176783" w:rsidRPr="007355DC" w:rsidRDefault="00176783" w:rsidP="00176783">
            <w:pPr>
              <w:rPr>
                <w:rFonts w:ascii="Times New Roman" w:hAnsi="Times New Roman" w:cs="Times New Roman"/>
                <w:b/>
              </w:rPr>
            </w:pPr>
            <w:r w:rsidRPr="007355DC">
              <w:rPr>
                <w:rFonts w:ascii="Times New Roman" w:hAnsi="Times New Roman" w:cs="Times New Roman"/>
                <w:b/>
              </w:rPr>
              <w:t>Materie trattate dal contratto integrativo</w:t>
            </w:r>
          </w:p>
        </w:tc>
        <w:tc>
          <w:tcPr>
            <w:tcW w:w="4737" w:type="dxa"/>
          </w:tcPr>
          <w:p w14:paraId="1E8E147C" w14:textId="4332100D" w:rsidR="009B09BE" w:rsidRPr="00257B82" w:rsidRDefault="00D76E8F" w:rsidP="000169D6">
            <w:pPr>
              <w:pStyle w:val="Corpotesto"/>
              <w:jc w:val="both"/>
              <w:rPr>
                <w:sz w:val="22"/>
                <w:szCs w:val="22"/>
              </w:rPr>
            </w:pPr>
            <w:r w:rsidRPr="000C0BCB">
              <w:rPr>
                <w:sz w:val="22"/>
                <w:szCs w:val="22"/>
              </w:rPr>
              <w:t xml:space="preserve">Criteri di ripartizione delle risorse disponibili </w:t>
            </w:r>
            <w:r>
              <w:rPr>
                <w:sz w:val="22"/>
                <w:szCs w:val="22"/>
              </w:rPr>
              <w:t xml:space="preserve">per la contrattazione integrativa di cui all’art. 80 CCNL 16/11/2022 Comparto Funzioni Locali </w:t>
            </w:r>
            <w:r w:rsidRPr="000C0BCB">
              <w:rPr>
                <w:sz w:val="22"/>
                <w:szCs w:val="22"/>
              </w:rPr>
              <w:t>relativo all’anno 202</w:t>
            </w:r>
            <w:r>
              <w:rPr>
                <w:sz w:val="22"/>
                <w:szCs w:val="22"/>
              </w:rPr>
              <w:t>4</w:t>
            </w:r>
            <w:r w:rsidRPr="000C0BCB">
              <w:rPr>
                <w:sz w:val="22"/>
                <w:szCs w:val="22"/>
              </w:rPr>
              <w:t>.</w:t>
            </w:r>
          </w:p>
        </w:tc>
      </w:tr>
      <w:tr w:rsidR="00176783" w:rsidRPr="007355DC" w14:paraId="74F66E6A" w14:textId="77777777" w:rsidTr="00176783">
        <w:trPr>
          <w:trHeight w:val="952"/>
        </w:trPr>
        <w:tc>
          <w:tcPr>
            <w:tcW w:w="2510" w:type="dxa"/>
            <w:vMerge w:val="restart"/>
            <w:textDirection w:val="btLr"/>
          </w:tcPr>
          <w:p w14:paraId="690C9C03" w14:textId="77777777" w:rsidR="00176783" w:rsidRPr="007355DC" w:rsidRDefault="00176783" w:rsidP="00176783">
            <w:pPr>
              <w:ind w:left="113" w:right="113"/>
              <w:rPr>
                <w:rFonts w:ascii="Times New Roman" w:hAnsi="Times New Roman" w:cs="Times New Roman"/>
                <w:b/>
              </w:rPr>
            </w:pPr>
          </w:p>
          <w:p w14:paraId="23CA14BB" w14:textId="77777777" w:rsidR="00176783" w:rsidRPr="007355DC" w:rsidRDefault="00176783" w:rsidP="00176783">
            <w:pPr>
              <w:ind w:left="113" w:right="113"/>
              <w:rPr>
                <w:rFonts w:ascii="Times New Roman" w:hAnsi="Times New Roman" w:cs="Times New Roman"/>
                <w:b/>
              </w:rPr>
            </w:pPr>
          </w:p>
          <w:p w14:paraId="1A8A0428" w14:textId="77777777" w:rsidR="00176783" w:rsidRPr="007355DC" w:rsidRDefault="00176783" w:rsidP="00176783">
            <w:pPr>
              <w:ind w:left="113" w:right="113"/>
              <w:jc w:val="center"/>
              <w:rPr>
                <w:rFonts w:ascii="Times New Roman" w:hAnsi="Times New Roman" w:cs="Times New Roman"/>
                <w:b/>
              </w:rPr>
            </w:pPr>
            <w:r w:rsidRPr="007355DC">
              <w:rPr>
                <w:rFonts w:ascii="Times New Roman" w:hAnsi="Times New Roman" w:cs="Times New Roman"/>
                <w:b/>
              </w:rPr>
              <w:t>Rispetto dell’iter adempimenti procedurali e degli atti propedeutici e successivi alla contrattazione</w:t>
            </w:r>
          </w:p>
          <w:p w14:paraId="3BCE2B2D" w14:textId="77777777" w:rsidR="00176783" w:rsidRPr="007355DC" w:rsidRDefault="00176783" w:rsidP="00176783">
            <w:pPr>
              <w:ind w:left="113" w:right="113"/>
              <w:rPr>
                <w:rFonts w:ascii="Times New Roman" w:hAnsi="Times New Roman" w:cs="Times New Roman"/>
                <w:b/>
              </w:rPr>
            </w:pPr>
          </w:p>
          <w:p w14:paraId="6F5B4379" w14:textId="77777777" w:rsidR="00176783" w:rsidRPr="007355DC" w:rsidRDefault="00176783" w:rsidP="00176783">
            <w:pPr>
              <w:ind w:left="113" w:right="113"/>
              <w:rPr>
                <w:rFonts w:ascii="Times New Roman" w:hAnsi="Times New Roman" w:cs="Times New Roman"/>
                <w:b/>
              </w:rPr>
            </w:pPr>
          </w:p>
          <w:p w14:paraId="1B3868E7" w14:textId="77777777" w:rsidR="00176783" w:rsidRPr="007355DC" w:rsidRDefault="00176783" w:rsidP="00176783">
            <w:pPr>
              <w:ind w:left="113" w:right="113"/>
              <w:rPr>
                <w:rFonts w:ascii="Times New Roman" w:hAnsi="Times New Roman" w:cs="Times New Roman"/>
                <w:b/>
              </w:rPr>
            </w:pPr>
          </w:p>
          <w:p w14:paraId="5E1D27C7" w14:textId="77777777" w:rsidR="00176783" w:rsidRPr="007355DC" w:rsidRDefault="00176783" w:rsidP="00176783">
            <w:pPr>
              <w:ind w:left="113" w:right="113"/>
              <w:rPr>
                <w:rFonts w:ascii="Times New Roman" w:hAnsi="Times New Roman" w:cs="Times New Roman"/>
                <w:b/>
              </w:rPr>
            </w:pPr>
          </w:p>
          <w:p w14:paraId="1F8BF089" w14:textId="77777777" w:rsidR="00176783" w:rsidRPr="007355DC" w:rsidRDefault="00176783" w:rsidP="00176783">
            <w:pPr>
              <w:ind w:left="113" w:right="113"/>
              <w:rPr>
                <w:rFonts w:ascii="Times New Roman" w:hAnsi="Times New Roman" w:cs="Times New Roman"/>
                <w:b/>
              </w:rPr>
            </w:pPr>
          </w:p>
          <w:p w14:paraId="5697792E" w14:textId="77777777" w:rsidR="00176783" w:rsidRPr="007355DC" w:rsidRDefault="00176783" w:rsidP="00176783">
            <w:pPr>
              <w:ind w:left="113" w:right="113"/>
              <w:rPr>
                <w:rFonts w:ascii="Times New Roman" w:hAnsi="Times New Roman" w:cs="Times New Roman"/>
                <w:b/>
              </w:rPr>
            </w:pPr>
          </w:p>
        </w:tc>
        <w:tc>
          <w:tcPr>
            <w:tcW w:w="2381" w:type="dxa"/>
            <w:vMerge w:val="restart"/>
          </w:tcPr>
          <w:p w14:paraId="0C10C982" w14:textId="77777777" w:rsidR="00176783" w:rsidRPr="007355DC" w:rsidRDefault="00176783" w:rsidP="00176783">
            <w:pPr>
              <w:rPr>
                <w:rFonts w:ascii="Times New Roman" w:hAnsi="Times New Roman" w:cs="Times New Roman"/>
              </w:rPr>
            </w:pPr>
            <w:r w:rsidRPr="007355DC">
              <w:rPr>
                <w:rFonts w:ascii="Times New Roman" w:hAnsi="Times New Roman" w:cs="Times New Roman"/>
              </w:rPr>
              <w:t>Intervento dell’Organo di controllo interno</w:t>
            </w:r>
          </w:p>
          <w:p w14:paraId="7B0F3400" w14:textId="77777777" w:rsidR="00176783" w:rsidRPr="007355DC" w:rsidRDefault="00176783" w:rsidP="00176783">
            <w:pPr>
              <w:rPr>
                <w:rFonts w:ascii="Times New Roman" w:hAnsi="Times New Roman" w:cs="Times New Roman"/>
                <w:b/>
              </w:rPr>
            </w:pPr>
          </w:p>
          <w:p w14:paraId="114AD18C" w14:textId="77777777" w:rsidR="00176783" w:rsidRPr="007355DC" w:rsidRDefault="00176783" w:rsidP="00176783">
            <w:pPr>
              <w:rPr>
                <w:rFonts w:ascii="Times New Roman" w:hAnsi="Times New Roman" w:cs="Times New Roman"/>
                <w:b/>
              </w:rPr>
            </w:pPr>
            <w:r w:rsidRPr="007355DC">
              <w:rPr>
                <w:rFonts w:ascii="Times New Roman" w:hAnsi="Times New Roman" w:cs="Times New Roman"/>
                <w:b/>
              </w:rPr>
              <w:t>Allegazione della Certificazione dell’Organo di Controllo interno alla Relazione illustrativa</w:t>
            </w:r>
          </w:p>
          <w:p w14:paraId="7E55B0E9" w14:textId="77777777" w:rsidR="00176783" w:rsidRPr="007355DC" w:rsidRDefault="00176783" w:rsidP="00176783">
            <w:pPr>
              <w:rPr>
                <w:rFonts w:ascii="Times New Roman" w:hAnsi="Times New Roman" w:cs="Times New Roman"/>
                <w:b/>
              </w:rPr>
            </w:pPr>
          </w:p>
        </w:tc>
        <w:tc>
          <w:tcPr>
            <w:tcW w:w="4737" w:type="dxa"/>
          </w:tcPr>
          <w:p w14:paraId="3870DEAB" w14:textId="697BD941" w:rsidR="00176783" w:rsidRPr="007355DC" w:rsidRDefault="00D76E8F" w:rsidP="00176783">
            <w:pPr>
              <w:jc w:val="both"/>
              <w:rPr>
                <w:rFonts w:ascii="Times New Roman" w:hAnsi="Times New Roman" w:cs="Times New Roman"/>
                <w:b/>
              </w:rPr>
            </w:pPr>
            <w:r w:rsidRPr="00B76F5F">
              <w:rPr>
                <w:rFonts w:ascii="Times New Roman" w:eastAsia="Times New Roman" w:hAnsi="Times New Roman" w:cs="Times New Roman"/>
                <w:w w:val="110"/>
                <w:lang w:eastAsia="it-IT"/>
              </w:rPr>
              <w:t>Con nota Prot. N</w:t>
            </w:r>
            <w:r w:rsidR="00B76F5F" w:rsidRPr="00B76F5F">
              <w:rPr>
                <w:rFonts w:ascii="Times New Roman" w:eastAsia="Times New Roman" w:hAnsi="Times New Roman" w:cs="Times New Roman"/>
                <w:w w:val="110"/>
                <w:lang w:eastAsia="it-IT"/>
              </w:rPr>
              <w:t>. 0002587/U del 16/02/2024</w:t>
            </w:r>
            <w:r w:rsidRPr="000C0BCB">
              <w:rPr>
                <w:rFonts w:ascii="Times New Roman" w:eastAsia="Times New Roman" w:hAnsi="Times New Roman" w:cs="Times New Roman"/>
                <w:w w:val="110"/>
                <w:lang w:eastAsia="it-IT"/>
              </w:rPr>
              <w:t xml:space="preserve"> è stata richiesta al Collegio dei Revisori dei Conti la prescritta certificazione sulla compatibilità dei costi del CCDI parte economica</w:t>
            </w:r>
          </w:p>
          <w:p w14:paraId="5D1B220F" w14:textId="5811B765" w:rsidR="00176783" w:rsidRPr="007355DC" w:rsidRDefault="00176783" w:rsidP="00176783">
            <w:pPr>
              <w:jc w:val="both"/>
              <w:rPr>
                <w:rFonts w:ascii="Times New Roman" w:hAnsi="Times New Roman" w:cs="Times New Roman"/>
              </w:rPr>
            </w:pPr>
          </w:p>
        </w:tc>
      </w:tr>
      <w:tr w:rsidR="00176783" w:rsidRPr="007355DC" w14:paraId="69D05BCB" w14:textId="77777777" w:rsidTr="00176783">
        <w:trPr>
          <w:trHeight w:val="951"/>
        </w:trPr>
        <w:tc>
          <w:tcPr>
            <w:tcW w:w="2510" w:type="dxa"/>
            <w:vMerge/>
            <w:textDirection w:val="btLr"/>
          </w:tcPr>
          <w:p w14:paraId="2CF6D7F6" w14:textId="77777777" w:rsidR="00176783" w:rsidRPr="007355DC" w:rsidRDefault="00176783" w:rsidP="00176783">
            <w:pPr>
              <w:ind w:left="113" w:right="113"/>
              <w:rPr>
                <w:rFonts w:ascii="Times New Roman" w:hAnsi="Times New Roman" w:cs="Times New Roman"/>
                <w:b/>
              </w:rPr>
            </w:pPr>
          </w:p>
        </w:tc>
        <w:tc>
          <w:tcPr>
            <w:tcW w:w="2381" w:type="dxa"/>
            <w:vMerge/>
          </w:tcPr>
          <w:p w14:paraId="14C7D129" w14:textId="77777777" w:rsidR="00176783" w:rsidRPr="007355DC" w:rsidRDefault="00176783" w:rsidP="00176783">
            <w:pPr>
              <w:rPr>
                <w:rFonts w:ascii="Times New Roman" w:hAnsi="Times New Roman" w:cs="Times New Roman"/>
              </w:rPr>
            </w:pPr>
          </w:p>
        </w:tc>
        <w:tc>
          <w:tcPr>
            <w:tcW w:w="4737" w:type="dxa"/>
          </w:tcPr>
          <w:p w14:paraId="039AEF06" w14:textId="77777777" w:rsidR="00176783" w:rsidRPr="007355DC" w:rsidRDefault="00176783" w:rsidP="00176783">
            <w:pPr>
              <w:rPr>
                <w:rFonts w:ascii="Times New Roman" w:hAnsi="Times New Roman" w:cs="Times New Roman"/>
              </w:rPr>
            </w:pPr>
          </w:p>
        </w:tc>
      </w:tr>
      <w:tr w:rsidR="00176783" w:rsidRPr="007355DC" w14:paraId="0A8EE1A6" w14:textId="77777777" w:rsidTr="00176783">
        <w:trPr>
          <w:trHeight w:val="424"/>
        </w:trPr>
        <w:tc>
          <w:tcPr>
            <w:tcW w:w="2510" w:type="dxa"/>
            <w:vMerge/>
          </w:tcPr>
          <w:p w14:paraId="795E77CC" w14:textId="77777777" w:rsidR="00176783" w:rsidRPr="007355DC" w:rsidRDefault="00176783" w:rsidP="00176783">
            <w:pPr>
              <w:rPr>
                <w:rFonts w:ascii="Times New Roman" w:hAnsi="Times New Roman" w:cs="Times New Roman"/>
                <w:b/>
              </w:rPr>
            </w:pPr>
          </w:p>
        </w:tc>
        <w:tc>
          <w:tcPr>
            <w:tcW w:w="2381" w:type="dxa"/>
            <w:vMerge w:val="restart"/>
          </w:tcPr>
          <w:p w14:paraId="3826D362" w14:textId="77777777" w:rsidR="00176783" w:rsidRPr="007355DC" w:rsidRDefault="00176783" w:rsidP="00176783">
            <w:pPr>
              <w:rPr>
                <w:rFonts w:ascii="Times New Roman" w:hAnsi="Times New Roman" w:cs="Times New Roman"/>
                <w:b/>
              </w:rPr>
            </w:pPr>
            <w:r w:rsidRPr="007355DC">
              <w:rPr>
                <w:rFonts w:ascii="Times New Roman" w:hAnsi="Times New Roman" w:cs="Times New Roman"/>
                <w:b/>
              </w:rPr>
              <w:t>Attestazione del rispetto degli obblighi di legge che in caso di inadempimento comportano la sanzione del divieto di erogazione della retribuzione accessoria</w:t>
            </w:r>
          </w:p>
        </w:tc>
        <w:tc>
          <w:tcPr>
            <w:tcW w:w="4737" w:type="dxa"/>
          </w:tcPr>
          <w:tbl>
            <w:tblPr>
              <w:tblStyle w:val="Grigliatabella"/>
              <w:tblW w:w="0" w:type="auto"/>
              <w:tblLook w:val="04A0" w:firstRow="1" w:lastRow="0" w:firstColumn="1" w:lastColumn="0" w:noHBand="0" w:noVBand="1"/>
            </w:tblPr>
            <w:tblGrid>
              <w:gridCol w:w="4511"/>
            </w:tblGrid>
            <w:tr w:rsidR="00176783" w:rsidRPr="00341A06" w14:paraId="34D751D5" w14:textId="77777777" w:rsidTr="00BF733A">
              <w:trPr>
                <w:trHeight w:val="424"/>
              </w:trPr>
              <w:tc>
                <w:tcPr>
                  <w:tcW w:w="4850" w:type="dxa"/>
                </w:tcPr>
                <w:p w14:paraId="44881D42" w14:textId="3359AC24" w:rsidR="00176783" w:rsidRPr="00907861" w:rsidRDefault="00E01D11" w:rsidP="00176783">
                  <w:pPr>
                    <w:pStyle w:val="Paragrafoelenco"/>
                    <w:ind w:left="34"/>
                    <w:jc w:val="both"/>
                    <w:rPr>
                      <w:rFonts w:ascii="Times New Roman" w:hAnsi="Times New Roman" w:cs="Times New Roman"/>
                    </w:rPr>
                  </w:pPr>
                  <w:r w:rsidRPr="00D237F4">
                    <w:rPr>
                      <w:rFonts w:ascii="Times New Roman" w:hAnsi="Times New Roman" w:cs="Times New Roman"/>
                    </w:rPr>
                    <w:t>I</w:t>
                  </w:r>
                  <w:r w:rsidRPr="0019497B">
                    <w:rPr>
                      <w:rFonts w:ascii="Times New Roman" w:hAnsi="Times New Roman" w:cs="Times New Roman"/>
                    </w:rPr>
                    <w:t>l Piano della performance 202</w:t>
                  </w:r>
                  <w:r>
                    <w:rPr>
                      <w:rFonts w:ascii="Times New Roman" w:hAnsi="Times New Roman" w:cs="Times New Roman"/>
                    </w:rPr>
                    <w:t>4</w:t>
                  </w:r>
                  <w:r w:rsidRPr="0019497B">
                    <w:rPr>
                      <w:rFonts w:ascii="Times New Roman" w:hAnsi="Times New Roman" w:cs="Times New Roman"/>
                    </w:rPr>
                    <w:t>-202</w:t>
                  </w:r>
                  <w:r>
                    <w:rPr>
                      <w:rFonts w:ascii="Times New Roman" w:hAnsi="Times New Roman" w:cs="Times New Roman"/>
                    </w:rPr>
                    <w:t>6</w:t>
                  </w:r>
                  <w:r w:rsidRPr="0019497B">
                    <w:rPr>
                      <w:rFonts w:ascii="Times New Roman" w:hAnsi="Times New Roman" w:cs="Times New Roman"/>
                    </w:rPr>
                    <w:t>, è stato approvato nell’ambito del Piano Integrato di Attività e Organizzazione periodo di programmazione 202</w:t>
                  </w:r>
                  <w:r>
                    <w:rPr>
                      <w:rFonts w:ascii="Times New Roman" w:hAnsi="Times New Roman" w:cs="Times New Roman"/>
                    </w:rPr>
                    <w:t>4</w:t>
                  </w:r>
                  <w:r w:rsidRPr="0019497B">
                    <w:rPr>
                      <w:rFonts w:ascii="Times New Roman" w:hAnsi="Times New Roman" w:cs="Times New Roman"/>
                    </w:rPr>
                    <w:t>-202</w:t>
                  </w:r>
                  <w:r>
                    <w:rPr>
                      <w:rFonts w:ascii="Times New Roman" w:hAnsi="Times New Roman" w:cs="Times New Roman"/>
                    </w:rPr>
                    <w:t>6</w:t>
                  </w:r>
                  <w:r w:rsidRPr="0019497B">
                    <w:rPr>
                      <w:rFonts w:ascii="Times New Roman" w:hAnsi="Times New Roman" w:cs="Times New Roman"/>
                    </w:rPr>
                    <w:t xml:space="preserve">, con determinazione commissariale n. </w:t>
                  </w:r>
                  <w:r>
                    <w:rPr>
                      <w:rFonts w:ascii="Times New Roman" w:hAnsi="Times New Roman" w:cs="Times New Roman"/>
                    </w:rPr>
                    <w:t>7</w:t>
                  </w:r>
                  <w:r w:rsidRPr="0019497B">
                    <w:rPr>
                      <w:rFonts w:ascii="Times New Roman" w:hAnsi="Times New Roman" w:cs="Times New Roman"/>
                    </w:rPr>
                    <w:t xml:space="preserve"> del </w:t>
                  </w:r>
                  <w:r>
                    <w:rPr>
                      <w:rFonts w:ascii="Times New Roman" w:hAnsi="Times New Roman" w:cs="Times New Roman"/>
                    </w:rPr>
                    <w:t>31/</w:t>
                  </w:r>
                  <w:r w:rsidRPr="0019497B">
                    <w:rPr>
                      <w:rFonts w:ascii="Times New Roman" w:hAnsi="Times New Roman" w:cs="Times New Roman"/>
                    </w:rPr>
                    <w:t>0</w:t>
                  </w:r>
                  <w:r>
                    <w:rPr>
                      <w:rFonts w:ascii="Times New Roman" w:hAnsi="Times New Roman" w:cs="Times New Roman"/>
                    </w:rPr>
                    <w:t>1</w:t>
                  </w:r>
                  <w:r w:rsidRPr="0019497B">
                    <w:rPr>
                      <w:rFonts w:ascii="Times New Roman" w:hAnsi="Times New Roman" w:cs="Times New Roman"/>
                    </w:rPr>
                    <w:t>/202</w:t>
                  </w:r>
                  <w:r>
                    <w:rPr>
                      <w:rFonts w:ascii="Times New Roman" w:hAnsi="Times New Roman" w:cs="Times New Roman"/>
                    </w:rPr>
                    <w:t>4</w:t>
                  </w:r>
                  <w:r w:rsidRPr="0019497B">
                    <w:rPr>
                      <w:rFonts w:ascii="Times New Roman" w:hAnsi="Times New Roman" w:cs="Times New Roman"/>
                    </w:rPr>
                    <w:t>;</w:t>
                  </w:r>
                </w:p>
              </w:tc>
            </w:tr>
            <w:tr w:rsidR="00176783" w:rsidRPr="00341A06" w14:paraId="7F8141E5" w14:textId="77777777" w:rsidTr="00BF733A">
              <w:trPr>
                <w:trHeight w:val="422"/>
              </w:trPr>
              <w:tc>
                <w:tcPr>
                  <w:tcW w:w="4850" w:type="dxa"/>
                </w:tcPr>
                <w:p w14:paraId="436B1E96" w14:textId="73C097E6" w:rsidR="00176783" w:rsidRPr="00907861" w:rsidRDefault="00E01D11" w:rsidP="007B60AD">
                  <w:pPr>
                    <w:jc w:val="both"/>
                    <w:rPr>
                      <w:rFonts w:ascii="Times New Roman" w:hAnsi="Times New Roman" w:cs="Times New Roman"/>
                    </w:rPr>
                  </w:pPr>
                  <w:proofErr w:type="spellStart"/>
                  <w:r>
                    <w:rPr>
                      <w:rFonts w:ascii="Times New Roman" w:hAnsi="Times New Roman" w:cs="Times New Roman"/>
                    </w:rPr>
                    <w:t>E’</w:t>
                  </w:r>
                  <w:r w:rsidRPr="0019497B">
                    <w:rPr>
                      <w:rFonts w:ascii="Times New Roman" w:hAnsi="Times New Roman" w:cs="Times New Roman"/>
                    </w:rPr>
                    <w:t>stato</w:t>
                  </w:r>
                  <w:proofErr w:type="spellEnd"/>
                  <w:r w:rsidRPr="0019497B">
                    <w:rPr>
                      <w:rFonts w:ascii="Times New Roman" w:hAnsi="Times New Roman" w:cs="Times New Roman"/>
                    </w:rPr>
                    <w:t xml:space="preserve"> approvato l’Aggiornamento del Piano triennale di prevenzione della corruzione 202</w:t>
                  </w:r>
                  <w:r>
                    <w:rPr>
                      <w:rFonts w:ascii="Times New Roman" w:hAnsi="Times New Roman" w:cs="Times New Roman"/>
                    </w:rPr>
                    <w:t>4</w:t>
                  </w:r>
                  <w:r w:rsidRPr="0019497B">
                    <w:rPr>
                      <w:rFonts w:ascii="Times New Roman" w:hAnsi="Times New Roman" w:cs="Times New Roman"/>
                    </w:rPr>
                    <w:t>/2</w:t>
                  </w:r>
                  <w:r>
                    <w:rPr>
                      <w:rFonts w:ascii="Times New Roman" w:hAnsi="Times New Roman" w:cs="Times New Roman"/>
                    </w:rPr>
                    <w:t>6</w:t>
                  </w:r>
                  <w:r w:rsidRPr="0019497B">
                    <w:rPr>
                      <w:rFonts w:ascii="Times New Roman" w:hAnsi="Times New Roman" w:cs="Times New Roman"/>
                    </w:rPr>
                    <w:t xml:space="preserve"> nell’ambito del Piano Integrato di Attività e Organizzazione con determinazione commissariale n. </w:t>
                  </w:r>
                  <w:r>
                    <w:rPr>
                      <w:rFonts w:ascii="Times New Roman" w:hAnsi="Times New Roman" w:cs="Times New Roman"/>
                    </w:rPr>
                    <w:t>7</w:t>
                  </w:r>
                  <w:r w:rsidRPr="0019497B">
                    <w:rPr>
                      <w:rFonts w:ascii="Times New Roman" w:hAnsi="Times New Roman" w:cs="Times New Roman"/>
                    </w:rPr>
                    <w:t xml:space="preserve"> del</w:t>
                  </w:r>
                  <w:r>
                    <w:rPr>
                      <w:rFonts w:ascii="Times New Roman" w:hAnsi="Times New Roman" w:cs="Times New Roman"/>
                    </w:rPr>
                    <w:t xml:space="preserve"> 31</w:t>
                  </w:r>
                  <w:r w:rsidRPr="0019497B">
                    <w:rPr>
                      <w:rFonts w:ascii="Times New Roman" w:hAnsi="Times New Roman" w:cs="Times New Roman"/>
                    </w:rPr>
                    <w:t>/0</w:t>
                  </w:r>
                  <w:r>
                    <w:rPr>
                      <w:rFonts w:ascii="Times New Roman" w:hAnsi="Times New Roman" w:cs="Times New Roman"/>
                    </w:rPr>
                    <w:t>1</w:t>
                  </w:r>
                  <w:r w:rsidRPr="0019497B">
                    <w:rPr>
                      <w:rFonts w:ascii="Times New Roman" w:hAnsi="Times New Roman" w:cs="Times New Roman"/>
                    </w:rPr>
                    <w:t>/202</w:t>
                  </w:r>
                  <w:r>
                    <w:rPr>
                      <w:rFonts w:ascii="Times New Roman" w:hAnsi="Times New Roman" w:cs="Times New Roman"/>
                    </w:rPr>
                    <w:t>4</w:t>
                  </w:r>
                  <w:r w:rsidRPr="0019497B">
                    <w:rPr>
                      <w:rFonts w:ascii="Times New Roman" w:hAnsi="Times New Roman" w:cs="Times New Roman"/>
                    </w:rPr>
                    <w:t>, all’interno del quale è confluito in una apposita sezione il programma triennale della trasparenza.</w:t>
                  </w:r>
                </w:p>
              </w:tc>
            </w:tr>
          </w:tbl>
          <w:p w14:paraId="1CC9F37E" w14:textId="77777777" w:rsidR="00176783" w:rsidRPr="00A1536D" w:rsidRDefault="00176783" w:rsidP="00176783">
            <w:pPr>
              <w:pStyle w:val="Paragrafoelenco"/>
              <w:ind w:left="34"/>
              <w:jc w:val="both"/>
              <w:rPr>
                <w:rFonts w:ascii="Times New Roman" w:hAnsi="Times New Roman" w:cs="Times New Roman"/>
              </w:rPr>
            </w:pPr>
          </w:p>
        </w:tc>
      </w:tr>
      <w:tr w:rsidR="00176783" w:rsidRPr="007355DC" w14:paraId="3B6FAD5E" w14:textId="77777777" w:rsidTr="00176783">
        <w:trPr>
          <w:trHeight w:val="422"/>
        </w:trPr>
        <w:tc>
          <w:tcPr>
            <w:tcW w:w="2510" w:type="dxa"/>
            <w:vMerge/>
          </w:tcPr>
          <w:p w14:paraId="25376228" w14:textId="77777777" w:rsidR="00176783" w:rsidRPr="007355DC" w:rsidRDefault="00176783" w:rsidP="00176783">
            <w:pPr>
              <w:rPr>
                <w:rFonts w:ascii="Times New Roman" w:hAnsi="Times New Roman" w:cs="Times New Roman"/>
                <w:b/>
              </w:rPr>
            </w:pPr>
          </w:p>
        </w:tc>
        <w:tc>
          <w:tcPr>
            <w:tcW w:w="2381" w:type="dxa"/>
            <w:vMerge/>
          </w:tcPr>
          <w:p w14:paraId="58BD6987" w14:textId="77777777" w:rsidR="00176783" w:rsidRPr="007355DC" w:rsidRDefault="00176783" w:rsidP="00176783">
            <w:pPr>
              <w:rPr>
                <w:rFonts w:ascii="Times New Roman" w:hAnsi="Times New Roman" w:cs="Times New Roman"/>
                <w:b/>
              </w:rPr>
            </w:pPr>
          </w:p>
        </w:tc>
        <w:tc>
          <w:tcPr>
            <w:tcW w:w="4737" w:type="dxa"/>
          </w:tcPr>
          <w:p w14:paraId="75864771" w14:textId="4DD88E03" w:rsidR="00176783" w:rsidRPr="007355DC" w:rsidRDefault="00E01D11" w:rsidP="00176783">
            <w:pPr>
              <w:jc w:val="both"/>
              <w:rPr>
                <w:rFonts w:ascii="Times New Roman" w:hAnsi="Times New Roman" w:cs="Times New Roman"/>
              </w:rPr>
            </w:pPr>
            <w:r w:rsidRPr="00D237F4">
              <w:rPr>
                <w:rFonts w:ascii="Times New Roman" w:hAnsi="Times New Roman" w:cs="Times New Roman"/>
              </w:rPr>
              <w:t>La Relazione sulla Performance relativa all’anno 202</w:t>
            </w:r>
            <w:r>
              <w:rPr>
                <w:rFonts w:ascii="Times New Roman" w:hAnsi="Times New Roman" w:cs="Times New Roman"/>
              </w:rPr>
              <w:t>4</w:t>
            </w:r>
            <w:r w:rsidRPr="00D237F4">
              <w:rPr>
                <w:rFonts w:ascii="Times New Roman" w:hAnsi="Times New Roman" w:cs="Times New Roman"/>
              </w:rPr>
              <w:t xml:space="preserve"> </w:t>
            </w:r>
            <w:r>
              <w:rPr>
                <w:rFonts w:ascii="Times New Roman" w:hAnsi="Times New Roman" w:cs="Times New Roman"/>
              </w:rPr>
              <w:t>sarà sottoposta alla</w:t>
            </w:r>
            <w:r w:rsidRPr="00D237F4">
              <w:rPr>
                <w:rFonts w:ascii="Times New Roman" w:hAnsi="Times New Roman" w:cs="Times New Roman"/>
              </w:rPr>
              <w:t xml:space="preserve"> valida</w:t>
            </w:r>
            <w:r>
              <w:rPr>
                <w:rFonts w:ascii="Times New Roman" w:hAnsi="Times New Roman" w:cs="Times New Roman"/>
              </w:rPr>
              <w:t>zione</w:t>
            </w:r>
            <w:r w:rsidRPr="00D237F4">
              <w:rPr>
                <w:rFonts w:ascii="Times New Roman" w:hAnsi="Times New Roman" w:cs="Times New Roman"/>
              </w:rPr>
              <w:t xml:space="preserve"> d</w:t>
            </w:r>
            <w:r>
              <w:rPr>
                <w:rFonts w:ascii="Times New Roman" w:hAnsi="Times New Roman" w:cs="Times New Roman"/>
              </w:rPr>
              <w:t>e</w:t>
            </w:r>
            <w:r w:rsidRPr="00D237F4">
              <w:rPr>
                <w:rFonts w:ascii="Times New Roman" w:hAnsi="Times New Roman" w:cs="Times New Roman"/>
              </w:rPr>
              <w:t xml:space="preserve">ll’OIV ai sensi dell’art.16, comma 6 del </w:t>
            </w:r>
            <w:proofErr w:type="spellStart"/>
            <w:r w:rsidRPr="00D237F4">
              <w:rPr>
                <w:rFonts w:ascii="Times New Roman" w:hAnsi="Times New Roman" w:cs="Times New Roman"/>
              </w:rPr>
              <w:t>D.Lgs.</w:t>
            </w:r>
            <w:proofErr w:type="spellEnd"/>
            <w:r w:rsidRPr="00D237F4">
              <w:rPr>
                <w:rFonts w:ascii="Times New Roman" w:hAnsi="Times New Roman" w:cs="Times New Roman"/>
              </w:rPr>
              <w:t xml:space="preserve"> 150/2009 nei termini di legge.</w:t>
            </w:r>
          </w:p>
        </w:tc>
      </w:tr>
    </w:tbl>
    <w:p w14:paraId="465AB79B" w14:textId="77777777" w:rsidR="00167F06" w:rsidRPr="00624C11" w:rsidRDefault="00167F06" w:rsidP="00167F06">
      <w:pPr>
        <w:rPr>
          <w:rFonts w:ascii="Times New Roman" w:hAnsi="Times New Roman" w:cs="Times New Roman"/>
          <w:b/>
        </w:rPr>
      </w:pPr>
    </w:p>
    <w:p w14:paraId="21428196" w14:textId="77777777" w:rsidR="00404680" w:rsidRPr="00624C11" w:rsidRDefault="00404680" w:rsidP="00167F06">
      <w:pPr>
        <w:rPr>
          <w:rFonts w:ascii="Times New Roman" w:hAnsi="Times New Roman" w:cs="Times New Roman"/>
          <w:b/>
        </w:rPr>
      </w:pPr>
      <w:r w:rsidRPr="00624C11">
        <w:rPr>
          <w:rFonts w:ascii="Times New Roman" w:hAnsi="Times New Roman" w:cs="Times New Roman"/>
          <w:b/>
        </w:rPr>
        <w:t xml:space="preserve">Modulo II </w:t>
      </w:r>
      <w:r w:rsidR="00E50C9F" w:rsidRPr="00624C11">
        <w:rPr>
          <w:rFonts w:ascii="Times New Roman" w:hAnsi="Times New Roman" w:cs="Times New Roman"/>
          <w:b/>
        </w:rPr>
        <w:t>– Illustrazione dell’articolato del contratto</w:t>
      </w:r>
    </w:p>
    <w:p w14:paraId="0F722DE3" w14:textId="77777777" w:rsidR="001D7021" w:rsidRDefault="001D7021" w:rsidP="00186E7D">
      <w:pPr>
        <w:pStyle w:val="Corpotesto"/>
        <w:jc w:val="both"/>
        <w:rPr>
          <w:spacing w:val="4"/>
          <w:sz w:val="22"/>
          <w:szCs w:val="22"/>
        </w:rPr>
      </w:pPr>
      <w:r w:rsidRPr="00624C11">
        <w:rPr>
          <w:sz w:val="22"/>
          <w:szCs w:val="22"/>
        </w:rPr>
        <w:t xml:space="preserve">In data </w:t>
      </w:r>
      <w:r w:rsidR="00F932D9">
        <w:rPr>
          <w:sz w:val="22"/>
          <w:szCs w:val="22"/>
        </w:rPr>
        <w:t>16 novembre</w:t>
      </w:r>
      <w:r w:rsidRPr="00624C11">
        <w:rPr>
          <w:sz w:val="22"/>
          <w:szCs w:val="22"/>
        </w:rPr>
        <w:t xml:space="preserve"> 20</w:t>
      </w:r>
      <w:r w:rsidR="00F932D9">
        <w:rPr>
          <w:sz w:val="22"/>
          <w:szCs w:val="22"/>
        </w:rPr>
        <w:t>22</w:t>
      </w:r>
      <w:r w:rsidRPr="00624C11">
        <w:rPr>
          <w:sz w:val="22"/>
          <w:szCs w:val="22"/>
        </w:rPr>
        <w:t xml:space="preserve"> è stato sottoscritto il CCNL per il triennio 20</w:t>
      </w:r>
      <w:r w:rsidR="00F932D9">
        <w:rPr>
          <w:sz w:val="22"/>
          <w:szCs w:val="22"/>
        </w:rPr>
        <w:t>19</w:t>
      </w:r>
      <w:r w:rsidRPr="00624C11">
        <w:rPr>
          <w:sz w:val="22"/>
          <w:szCs w:val="22"/>
        </w:rPr>
        <w:t>-20</w:t>
      </w:r>
      <w:r w:rsidR="00F932D9">
        <w:rPr>
          <w:sz w:val="22"/>
          <w:szCs w:val="22"/>
        </w:rPr>
        <w:t>21</w:t>
      </w:r>
      <w:r w:rsidRPr="00624C11">
        <w:rPr>
          <w:sz w:val="22"/>
          <w:szCs w:val="22"/>
        </w:rPr>
        <w:t xml:space="preserve"> il quale, all'art. 7</w:t>
      </w:r>
      <w:r w:rsidR="00504845">
        <w:rPr>
          <w:sz w:val="22"/>
          <w:szCs w:val="22"/>
        </w:rPr>
        <w:t>9</w:t>
      </w:r>
      <w:r w:rsidRPr="00624C11">
        <w:rPr>
          <w:sz w:val="22"/>
          <w:szCs w:val="22"/>
        </w:rPr>
        <w:t xml:space="preserve"> e segg. ha dettato una nuova disciplina, tra l’altro, delle relazioni sindacali, della costituzione e dell'ut</w:t>
      </w:r>
      <w:r w:rsidR="00DB212A" w:rsidRPr="00624C11">
        <w:rPr>
          <w:sz w:val="22"/>
          <w:szCs w:val="22"/>
        </w:rPr>
        <w:t xml:space="preserve">ilizzo delle risorse decentrate </w:t>
      </w:r>
    </w:p>
    <w:p w14:paraId="2A572180" w14:textId="3E9035C3" w:rsidR="00DB212A" w:rsidRPr="00624C11" w:rsidRDefault="00DB212A" w:rsidP="00DB212A">
      <w:pPr>
        <w:pStyle w:val="Default"/>
        <w:tabs>
          <w:tab w:val="left" w:pos="8505"/>
          <w:tab w:val="left" w:pos="8611"/>
        </w:tabs>
        <w:spacing w:line="264" w:lineRule="auto"/>
        <w:ind w:right="106"/>
        <w:jc w:val="both"/>
        <w:rPr>
          <w:rFonts w:eastAsia="Times New Roman"/>
          <w:color w:val="auto"/>
          <w:w w:val="105"/>
          <w:sz w:val="22"/>
          <w:szCs w:val="22"/>
        </w:rPr>
      </w:pPr>
      <w:r w:rsidRPr="00624C11">
        <w:rPr>
          <w:rFonts w:eastAsia="Times New Roman" w:cstheme="minorBidi"/>
          <w:color w:val="auto"/>
          <w:sz w:val="22"/>
          <w:szCs w:val="22"/>
        </w:rPr>
        <w:t xml:space="preserve">Con </w:t>
      </w:r>
      <w:r w:rsidRPr="00AE1FCE">
        <w:rPr>
          <w:rFonts w:eastAsia="Times New Roman" w:cstheme="minorBidi"/>
          <w:color w:val="auto"/>
          <w:sz w:val="22"/>
          <w:szCs w:val="22"/>
        </w:rPr>
        <w:t xml:space="preserve">Determinazione Dirigenziale n. </w:t>
      </w:r>
      <w:r w:rsidR="007B60AD">
        <w:rPr>
          <w:rFonts w:eastAsia="Times New Roman" w:cstheme="minorBidi"/>
          <w:color w:val="auto"/>
          <w:sz w:val="22"/>
          <w:szCs w:val="22"/>
        </w:rPr>
        <w:t>36</w:t>
      </w:r>
      <w:r w:rsidR="00504845" w:rsidRPr="00AE1FCE">
        <w:rPr>
          <w:rFonts w:eastAsia="Times New Roman" w:cstheme="minorBidi"/>
          <w:color w:val="auto"/>
          <w:sz w:val="22"/>
          <w:szCs w:val="22"/>
        </w:rPr>
        <w:t xml:space="preserve"> </w:t>
      </w:r>
      <w:r w:rsidRPr="00AE1FCE">
        <w:rPr>
          <w:rFonts w:eastAsia="Times New Roman" w:cstheme="minorBidi"/>
          <w:color w:val="auto"/>
          <w:sz w:val="22"/>
          <w:szCs w:val="22"/>
        </w:rPr>
        <w:t xml:space="preserve">del </w:t>
      </w:r>
      <w:r w:rsidR="007B60AD">
        <w:rPr>
          <w:rFonts w:eastAsia="Times New Roman" w:cstheme="minorBidi"/>
          <w:color w:val="auto"/>
          <w:sz w:val="22"/>
          <w:szCs w:val="22"/>
        </w:rPr>
        <w:t xml:space="preserve">01/02/2024 è stato </w:t>
      </w:r>
      <w:r w:rsidRPr="00624C11">
        <w:rPr>
          <w:rFonts w:eastAsia="Times New Roman" w:cstheme="minorBidi"/>
          <w:color w:val="auto"/>
          <w:sz w:val="22"/>
          <w:szCs w:val="22"/>
        </w:rPr>
        <w:t>quantificato</w:t>
      </w:r>
      <w:r w:rsidR="00662215" w:rsidRPr="00624C11">
        <w:rPr>
          <w:rFonts w:eastAsia="Times New Roman" w:cstheme="minorBidi"/>
          <w:color w:val="auto"/>
          <w:sz w:val="22"/>
          <w:szCs w:val="22"/>
        </w:rPr>
        <w:t xml:space="preserve"> </w:t>
      </w:r>
      <w:r w:rsidRPr="00624C11">
        <w:rPr>
          <w:rFonts w:eastAsia="Times New Roman" w:cstheme="minorBidi"/>
          <w:color w:val="auto"/>
          <w:sz w:val="22"/>
          <w:szCs w:val="22"/>
        </w:rPr>
        <w:t>il Fondo risorse decentrate per l’anno 202</w:t>
      </w:r>
      <w:r w:rsidR="007B60AD">
        <w:rPr>
          <w:rFonts w:eastAsia="Times New Roman" w:cstheme="minorBidi"/>
          <w:color w:val="auto"/>
          <w:sz w:val="22"/>
          <w:szCs w:val="22"/>
        </w:rPr>
        <w:t>4</w:t>
      </w:r>
      <w:r w:rsidRPr="00624C11">
        <w:rPr>
          <w:rFonts w:eastAsia="Times New Roman" w:cstheme="minorBidi"/>
          <w:color w:val="auto"/>
          <w:sz w:val="22"/>
          <w:szCs w:val="22"/>
        </w:rPr>
        <w:t xml:space="preserve"> in applicazione dei vigenti </w:t>
      </w:r>
      <w:proofErr w:type="gramStart"/>
      <w:r w:rsidRPr="00624C11">
        <w:rPr>
          <w:rFonts w:eastAsia="Times New Roman" w:cstheme="minorBidi"/>
          <w:color w:val="auto"/>
          <w:sz w:val="22"/>
          <w:szCs w:val="22"/>
        </w:rPr>
        <w:t>CC.CC.N.L.</w:t>
      </w:r>
      <w:proofErr w:type="gramEnd"/>
      <w:r w:rsidRPr="00624C11">
        <w:rPr>
          <w:rFonts w:eastAsia="Times New Roman" w:cstheme="minorBidi"/>
          <w:color w:val="auto"/>
          <w:sz w:val="22"/>
          <w:szCs w:val="22"/>
        </w:rPr>
        <w:t xml:space="preserve"> e in particolare dell</w:t>
      </w:r>
      <w:r w:rsidR="004A5083" w:rsidRPr="00624C11">
        <w:rPr>
          <w:rFonts w:eastAsia="Times New Roman" w:cstheme="minorBidi"/>
          <w:color w:val="auto"/>
          <w:sz w:val="22"/>
          <w:szCs w:val="22"/>
        </w:rPr>
        <w:t xml:space="preserve">’art. </w:t>
      </w:r>
      <w:r w:rsidR="00504845">
        <w:rPr>
          <w:rFonts w:eastAsia="Times New Roman" w:cstheme="minorBidi"/>
          <w:color w:val="auto"/>
          <w:sz w:val="22"/>
          <w:szCs w:val="22"/>
        </w:rPr>
        <w:t>79</w:t>
      </w:r>
      <w:r w:rsidR="004A5083" w:rsidRPr="00624C11">
        <w:rPr>
          <w:rFonts w:eastAsia="Times New Roman" w:cstheme="minorBidi"/>
          <w:color w:val="auto"/>
          <w:sz w:val="22"/>
          <w:szCs w:val="22"/>
        </w:rPr>
        <w:t xml:space="preserve"> del CCNL 1</w:t>
      </w:r>
      <w:r w:rsidR="00504845">
        <w:rPr>
          <w:rFonts w:eastAsia="Times New Roman" w:cstheme="minorBidi"/>
          <w:color w:val="auto"/>
          <w:sz w:val="22"/>
          <w:szCs w:val="22"/>
        </w:rPr>
        <w:t>6</w:t>
      </w:r>
      <w:r w:rsidR="004A5083" w:rsidRPr="00624C11">
        <w:rPr>
          <w:rFonts w:eastAsia="Times New Roman" w:cstheme="minorBidi"/>
          <w:color w:val="auto"/>
          <w:sz w:val="22"/>
          <w:szCs w:val="22"/>
        </w:rPr>
        <w:t>.</w:t>
      </w:r>
      <w:r w:rsidR="00504845">
        <w:rPr>
          <w:rFonts w:eastAsia="Times New Roman" w:cstheme="minorBidi"/>
          <w:color w:val="auto"/>
          <w:sz w:val="22"/>
          <w:szCs w:val="22"/>
        </w:rPr>
        <w:t>11</w:t>
      </w:r>
      <w:r w:rsidR="004A5083" w:rsidRPr="00624C11">
        <w:rPr>
          <w:rFonts w:eastAsia="Times New Roman" w:cstheme="minorBidi"/>
          <w:color w:val="auto"/>
          <w:sz w:val="22"/>
          <w:szCs w:val="22"/>
        </w:rPr>
        <w:t>.20</w:t>
      </w:r>
      <w:r w:rsidR="00504845">
        <w:rPr>
          <w:rFonts w:eastAsia="Times New Roman" w:cstheme="minorBidi"/>
          <w:color w:val="auto"/>
          <w:sz w:val="22"/>
          <w:szCs w:val="22"/>
        </w:rPr>
        <w:t>22</w:t>
      </w:r>
      <w:r w:rsidR="004A5083" w:rsidRPr="00624C11">
        <w:rPr>
          <w:rFonts w:eastAsia="Times New Roman" w:cstheme="minorBidi"/>
          <w:color w:val="auto"/>
          <w:sz w:val="22"/>
          <w:szCs w:val="22"/>
        </w:rPr>
        <w:t xml:space="preserve"> relativo</w:t>
      </w:r>
      <w:r w:rsidRPr="00624C11">
        <w:rPr>
          <w:rFonts w:eastAsia="Times New Roman" w:cstheme="minorBidi"/>
          <w:color w:val="auto"/>
          <w:sz w:val="22"/>
          <w:szCs w:val="22"/>
        </w:rPr>
        <w:t xml:space="preserve"> </w:t>
      </w:r>
      <w:r w:rsidR="004A5083" w:rsidRPr="00624C11">
        <w:rPr>
          <w:rFonts w:eastAsia="Times New Roman" w:cstheme="minorBidi"/>
          <w:color w:val="auto"/>
          <w:sz w:val="22"/>
          <w:szCs w:val="22"/>
        </w:rPr>
        <w:t>a</w:t>
      </w:r>
      <w:r w:rsidRPr="00624C11">
        <w:rPr>
          <w:rFonts w:eastAsia="Times New Roman" w:cstheme="minorBidi"/>
          <w:color w:val="auto"/>
          <w:sz w:val="22"/>
          <w:szCs w:val="22"/>
        </w:rPr>
        <w:t xml:space="preserve">l personale non dirigente del comparto “Funzioni Locali” </w:t>
      </w:r>
      <w:r w:rsidRPr="00624C11">
        <w:rPr>
          <w:rFonts w:eastAsia="Times New Roman"/>
          <w:color w:val="auto"/>
          <w:w w:val="105"/>
          <w:sz w:val="22"/>
          <w:szCs w:val="22"/>
        </w:rPr>
        <w:t xml:space="preserve">che risulta di complessivi euro </w:t>
      </w:r>
      <w:r w:rsidR="007B60AD">
        <w:rPr>
          <w:rFonts w:eastAsia="Times New Roman"/>
          <w:color w:val="auto"/>
          <w:w w:val="105"/>
          <w:sz w:val="22"/>
          <w:szCs w:val="22"/>
        </w:rPr>
        <w:t>281.803,24</w:t>
      </w:r>
      <w:r w:rsidR="00456CAB">
        <w:rPr>
          <w:rFonts w:eastAsia="Times New Roman"/>
          <w:color w:val="auto"/>
          <w:w w:val="105"/>
          <w:sz w:val="22"/>
          <w:szCs w:val="22"/>
        </w:rPr>
        <w:t xml:space="preserve"> </w:t>
      </w:r>
      <w:r w:rsidRPr="00624C11">
        <w:rPr>
          <w:rFonts w:eastAsia="Times New Roman"/>
          <w:color w:val="auto"/>
          <w:w w:val="105"/>
          <w:sz w:val="22"/>
          <w:szCs w:val="22"/>
        </w:rPr>
        <w:t>così suddiviso:</w:t>
      </w:r>
    </w:p>
    <w:p w14:paraId="6BAD02A4" w14:textId="4751B2FD" w:rsidR="004A5083" w:rsidRPr="00624C11" w:rsidRDefault="00DB212A" w:rsidP="00DB212A">
      <w:pPr>
        <w:pStyle w:val="Paragrafoelenco"/>
        <w:widowControl w:val="0"/>
        <w:numPr>
          <w:ilvl w:val="1"/>
          <w:numId w:val="14"/>
        </w:numPr>
        <w:spacing w:before="41" w:after="0" w:line="285" w:lineRule="auto"/>
        <w:ind w:right="106"/>
        <w:contextualSpacing w:val="0"/>
        <w:jc w:val="both"/>
      </w:pPr>
      <w:r w:rsidRPr="00624C11">
        <w:rPr>
          <w:rFonts w:ascii="Times New Roman" w:eastAsia="Times New Roman" w:hAnsi="Times New Roman"/>
          <w:w w:val="105"/>
        </w:rPr>
        <w:t xml:space="preserve">euro </w:t>
      </w:r>
      <w:r w:rsidR="00456CAB" w:rsidRPr="00456CAB">
        <w:rPr>
          <w:rFonts w:ascii="Times New Roman" w:eastAsia="Times New Roman" w:hAnsi="Times New Roman"/>
          <w:w w:val="105"/>
        </w:rPr>
        <w:t>1</w:t>
      </w:r>
      <w:r w:rsidR="007B60AD">
        <w:rPr>
          <w:rFonts w:ascii="Times New Roman" w:eastAsia="Times New Roman" w:hAnsi="Times New Roman"/>
          <w:w w:val="105"/>
        </w:rPr>
        <w:t>33.035,10</w:t>
      </w:r>
      <w:r w:rsidR="00456CAB">
        <w:rPr>
          <w:rFonts w:ascii="Times New Roman" w:eastAsia="Times New Roman" w:hAnsi="Times New Roman"/>
          <w:w w:val="105"/>
        </w:rPr>
        <w:t xml:space="preserve"> ri</w:t>
      </w:r>
      <w:r w:rsidRPr="00624C11">
        <w:rPr>
          <w:rFonts w:ascii="Times New Roman" w:eastAsia="Times New Roman" w:hAnsi="Times New Roman"/>
          <w:w w:val="105"/>
        </w:rPr>
        <w:t>sorse stabili;</w:t>
      </w:r>
    </w:p>
    <w:p w14:paraId="674B30EE" w14:textId="126232AA" w:rsidR="00DB212A" w:rsidRPr="00624C11" w:rsidRDefault="00DB212A" w:rsidP="00DB212A">
      <w:pPr>
        <w:pStyle w:val="Paragrafoelenco"/>
        <w:widowControl w:val="0"/>
        <w:numPr>
          <w:ilvl w:val="1"/>
          <w:numId w:val="14"/>
        </w:numPr>
        <w:spacing w:before="41" w:after="0" w:line="285" w:lineRule="auto"/>
        <w:ind w:right="106"/>
        <w:contextualSpacing w:val="0"/>
        <w:jc w:val="both"/>
      </w:pPr>
      <w:r w:rsidRPr="00624C11">
        <w:rPr>
          <w:rFonts w:ascii="Times New Roman" w:eastAsia="Times New Roman" w:hAnsi="Times New Roman"/>
          <w:w w:val="105"/>
        </w:rPr>
        <w:t>eur</w:t>
      </w:r>
      <w:r w:rsidR="00182975">
        <w:rPr>
          <w:rFonts w:ascii="Times New Roman" w:eastAsia="Times New Roman" w:hAnsi="Times New Roman"/>
          <w:w w:val="105"/>
        </w:rPr>
        <w:t xml:space="preserve">o </w:t>
      </w:r>
      <w:r w:rsidR="00456CAB" w:rsidRPr="00456CAB">
        <w:rPr>
          <w:rFonts w:ascii="Times New Roman" w:eastAsia="Times New Roman" w:hAnsi="Times New Roman"/>
          <w:w w:val="105"/>
        </w:rPr>
        <w:t>1</w:t>
      </w:r>
      <w:r w:rsidR="007B60AD">
        <w:rPr>
          <w:rFonts w:ascii="Times New Roman" w:eastAsia="Times New Roman" w:hAnsi="Times New Roman"/>
          <w:w w:val="105"/>
        </w:rPr>
        <w:t>48.768,14</w:t>
      </w:r>
      <w:r w:rsidR="00456CAB">
        <w:rPr>
          <w:rFonts w:ascii="Times New Roman" w:eastAsia="Times New Roman" w:hAnsi="Times New Roman"/>
          <w:w w:val="105"/>
        </w:rPr>
        <w:t xml:space="preserve"> </w:t>
      </w:r>
      <w:r w:rsidRPr="00624C11">
        <w:rPr>
          <w:rFonts w:ascii="Times New Roman" w:eastAsia="Times New Roman" w:hAnsi="Times New Roman"/>
          <w:w w:val="105"/>
        </w:rPr>
        <w:t>risorse variabili</w:t>
      </w:r>
      <w:r w:rsidR="004A5083" w:rsidRPr="00624C11">
        <w:rPr>
          <w:rFonts w:ascii="Times New Roman" w:eastAsia="Times New Roman" w:hAnsi="Times New Roman"/>
          <w:w w:val="105"/>
        </w:rPr>
        <w:t>.</w:t>
      </w:r>
    </w:p>
    <w:p w14:paraId="4AA11545" w14:textId="5B015AB4" w:rsidR="00624C11" w:rsidRPr="007B60AD" w:rsidRDefault="0092177B" w:rsidP="00186E7D">
      <w:pPr>
        <w:pStyle w:val="Corpotesto"/>
        <w:jc w:val="both"/>
        <w:rPr>
          <w:rFonts w:cstheme="minorBidi"/>
          <w:sz w:val="22"/>
          <w:szCs w:val="22"/>
          <w:lang w:eastAsia="en-US"/>
        </w:rPr>
      </w:pPr>
      <w:r>
        <w:rPr>
          <w:sz w:val="22"/>
          <w:szCs w:val="22"/>
        </w:rPr>
        <w:t xml:space="preserve"> Ciò premesso </w:t>
      </w:r>
      <w:r w:rsidRPr="00076476">
        <w:rPr>
          <w:sz w:val="22"/>
          <w:szCs w:val="22"/>
        </w:rPr>
        <w:t xml:space="preserve">in data </w:t>
      </w:r>
      <w:r w:rsidR="007B60AD" w:rsidRPr="00B76F5F">
        <w:rPr>
          <w:sz w:val="22"/>
          <w:szCs w:val="22"/>
        </w:rPr>
        <w:t>1</w:t>
      </w:r>
      <w:r w:rsidR="00076476" w:rsidRPr="00B76F5F">
        <w:rPr>
          <w:sz w:val="22"/>
          <w:szCs w:val="22"/>
        </w:rPr>
        <w:t>5/</w:t>
      </w:r>
      <w:r w:rsidR="007B60AD" w:rsidRPr="00B76F5F">
        <w:rPr>
          <w:sz w:val="22"/>
          <w:szCs w:val="22"/>
        </w:rPr>
        <w:t>02</w:t>
      </w:r>
      <w:r w:rsidR="00076476" w:rsidRPr="00B76F5F">
        <w:rPr>
          <w:sz w:val="22"/>
          <w:szCs w:val="22"/>
        </w:rPr>
        <w:t>/202</w:t>
      </w:r>
      <w:r w:rsidR="007B60AD" w:rsidRPr="00B76F5F">
        <w:rPr>
          <w:sz w:val="22"/>
          <w:szCs w:val="22"/>
        </w:rPr>
        <w:t>4</w:t>
      </w:r>
      <w:bookmarkStart w:id="0" w:name="_GoBack"/>
      <w:bookmarkEnd w:id="0"/>
      <w:r w:rsidRPr="00076476">
        <w:rPr>
          <w:sz w:val="22"/>
          <w:szCs w:val="22"/>
        </w:rPr>
        <w:t xml:space="preserve"> è</w:t>
      </w:r>
      <w:r>
        <w:rPr>
          <w:sz w:val="22"/>
          <w:szCs w:val="22"/>
        </w:rPr>
        <w:t xml:space="preserve"> stata sottoscritta l’Ipotesi </w:t>
      </w:r>
      <w:r w:rsidRPr="007B60AD">
        <w:rPr>
          <w:rFonts w:cstheme="minorBidi"/>
          <w:sz w:val="22"/>
          <w:szCs w:val="22"/>
          <w:lang w:eastAsia="en-US"/>
        </w:rPr>
        <w:t>di</w:t>
      </w:r>
      <w:r w:rsidR="007B60AD" w:rsidRPr="007B60AD">
        <w:rPr>
          <w:rFonts w:cstheme="minorBidi"/>
          <w:sz w:val="22"/>
          <w:szCs w:val="22"/>
          <w:lang w:eastAsia="en-US"/>
        </w:rPr>
        <w:t xml:space="preserve"> Accordo Economico per l’anno 2024 nell’ambito del Contratto Decentrato Integrativo Triennio 2023/2025 sottoscritto il 27/12/</w:t>
      </w:r>
      <w:proofErr w:type="gramStart"/>
      <w:r w:rsidR="007B60AD" w:rsidRPr="007B60AD">
        <w:rPr>
          <w:rFonts w:cstheme="minorBidi"/>
          <w:sz w:val="22"/>
          <w:szCs w:val="22"/>
          <w:lang w:eastAsia="en-US"/>
        </w:rPr>
        <w:t>2023 .</w:t>
      </w:r>
      <w:proofErr w:type="gramEnd"/>
      <w:r w:rsidRPr="007B60AD">
        <w:rPr>
          <w:rFonts w:cstheme="minorBidi"/>
          <w:sz w:val="22"/>
          <w:szCs w:val="22"/>
          <w:lang w:eastAsia="en-US"/>
        </w:rPr>
        <w:t xml:space="preserve"> </w:t>
      </w:r>
    </w:p>
    <w:p w14:paraId="20B9C6BE" w14:textId="77777777" w:rsidR="001D7021" w:rsidRPr="00624C11" w:rsidRDefault="001D7021" w:rsidP="00186E7D">
      <w:pPr>
        <w:pStyle w:val="Corpotesto"/>
        <w:jc w:val="both"/>
        <w:rPr>
          <w:sz w:val="22"/>
          <w:szCs w:val="22"/>
        </w:rPr>
      </w:pPr>
      <w:r w:rsidRPr="00624C11">
        <w:rPr>
          <w:sz w:val="22"/>
          <w:szCs w:val="22"/>
        </w:rPr>
        <w:t>La delegazione trattante nella discussione sul come impiegare — fra le diverse finalità per esse previste - le risorse effettivamente disponibili, ha dovuto tenere presente che parte di esse era già vincolata nell’utilizzo e nel relativo importo e, come tale, non era sullo stesso piano delle restanti risorse, in quanto non contrattabili ed afferenti:</w:t>
      </w:r>
    </w:p>
    <w:p w14:paraId="120A363A" w14:textId="7E199ABC" w:rsidR="001D7021" w:rsidRPr="00624C11" w:rsidRDefault="001D7021" w:rsidP="00F913EC">
      <w:pPr>
        <w:pStyle w:val="Corpotesto"/>
        <w:numPr>
          <w:ilvl w:val="0"/>
          <w:numId w:val="16"/>
        </w:numPr>
        <w:jc w:val="both"/>
        <w:rPr>
          <w:sz w:val="22"/>
          <w:szCs w:val="22"/>
        </w:rPr>
      </w:pPr>
      <w:r w:rsidRPr="00624C11">
        <w:rPr>
          <w:sz w:val="22"/>
          <w:szCs w:val="22"/>
        </w:rPr>
        <w:t xml:space="preserve">ai differenziali di posizione economica </w:t>
      </w:r>
      <w:r w:rsidR="00BB6500" w:rsidRPr="00624C11">
        <w:rPr>
          <w:sz w:val="22"/>
          <w:szCs w:val="22"/>
        </w:rPr>
        <w:t>destinati</w:t>
      </w:r>
      <w:r w:rsidRPr="00624C11">
        <w:rPr>
          <w:sz w:val="22"/>
          <w:szCs w:val="22"/>
        </w:rPr>
        <w:t xml:space="preserve"> a personale che ha beneficiato negli anni di Progressioni orizzontali assegnate in base a contratti decentrati precedenti più le differenze degli incrementi contrattuali, a regime, tra posizione economica iniziale e le posizioni economiche successive di ogni categoria</w:t>
      </w:r>
      <w:r w:rsidR="00DF39DF" w:rsidRPr="00624C11">
        <w:rPr>
          <w:sz w:val="22"/>
          <w:szCs w:val="22"/>
        </w:rPr>
        <w:t>;</w:t>
      </w:r>
    </w:p>
    <w:p w14:paraId="2CCF0253" w14:textId="7726FC52" w:rsidR="00BB6500" w:rsidRPr="00624C11" w:rsidRDefault="001D7021" w:rsidP="00F913EC">
      <w:pPr>
        <w:pStyle w:val="Corpotesto"/>
        <w:numPr>
          <w:ilvl w:val="0"/>
          <w:numId w:val="16"/>
        </w:numPr>
        <w:jc w:val="both"/>
        <w:rPr>
          <w:sz w:val="22"/>
          <w:szCs w:val="22"/>
        </w:rPr>
      </w:pPr>
      <w:r w:rsidRPr="00624C11">
        <w:rPr>
          <w:sz w:val="22"/>
          <w:szCs w:val="22"/>
        </w:rPr>
        <w:t>alle quote di indennità di comparto poste a carico del fondo</w:t>
      </w:r>
      <w:r w:rsidR="00BB6500" w:rsidRPr="00624C11">
        <w:rPr>
          <w:sz w:val="22"/>
          <w:szCs w:val="22"/>
        </w:rPr>
        <w:t>;</w:t>
      </w:r>
    </w:p>
    <w:p w14:paraId="7787378B" w14:textId="77777777" w:rsidR="001956F9" w:rsidRDefault="00BB6500" w:rsidP="00F913EC">
      <w:pPr>
        <w:pStyle w:val="Corpotesto"/>
        <w:numPr>
          <w:ilvl w:val="0"/>
          <w:numId w:val="16"/>
        </w:numPr>
        <w:jc w:val="both"/>
        <w:rPr>
          <w:sz w:val="22"/>
          <w:szCs w:val="22"/>
        </w:rPr>
      </w:pPr>
      <w:r w:rsidRPr="00624C11">
        <w:rPr>
          <w:sz w:val="22"/>
          <w:szCs w:val="22"/>
        </w:rPr>
        <w:t>agli oneri di riclassificazione ex III e IV qualifica</w:t>
      </w:r>
    </w:p>
    <w:p w14:paraId="1C98E6EC" w14:textId="0E7C9883" w:rsidR="001D7021" w:rsidRPr="00AE1FCE" w:rsidRDefault="001D7021" w:rsidP="001956F9">
      <w:pPr>
        <w:pStyle w:val="Corpotesto"/>
        <w:jc w:val="both"/>
        <w:rPr>
          <w:sz w:val="22"/>
          <w:szCs w:val="22"/>
        </w:rPr>
      </w:pPr>
    </w:p>
    <w:p w14:paraId="30DFAB20" w14:textId="07B9885E" w:rsidR="001D7021" w:rsidRDefault="001D7021" w:rsidP="00186E7D">
      <w:pPr>
        <w:pStyle w:val="Corpotesto"/>
        <w:jc w:val="both"/>
        <w:rPr>
          <w:sz w:val="22"/>
          <w:szCs w:val="22"/>
        </w:rPr>
      </w:pPr>
      <w:r w:rsidRPr="00624C11">
        <w:rPr>
          <w:sz w:val="22"/>
          <w:szCs w:val="22"/>
        </w:rPr>
        <w:t xml:space="preserve">Una volta quantificate e separate tali risorse - verificando naturalmente che il loro ammontare fosse ricompreso nel tetto delle risorse stabili del fondo - si è proceduto alla contrattazione vera e propria sulla quota restante di risorse, avendo cura di rispettare l'indirizzo contrattuale sulle destinazioni prevalenti </w:t>
      </w:r>
      <w:r w:rsidR="00375EC1" w:rsidRPr="00624C11">
        <w:rPr>
          <w:sz w:val="22"/>
          <w:szCs w:val="22"/>
        </w:rPr>
        <w:t>2</w:t>
      </w:r>
      <w:r w:rsidRPr="00624C11">
        <w:rPr>
          <w:sz w:val="22"/>
          <w:szCs w:val="22"/>
        </w:rPr>
        <w:t>0</w:t>
      </w:r>
      <w:r w:rsidR="004A5083" w:rsidRPr="00624C11">
        <w:rPr>
          <w:sz w:val="22"/>
          <w:szCs w:val="22"/>
        </w:rPr>
        <w:t>2</w:t>
      </w:r>
      <w:r w:rsidR="007B60AD">
        <w:rPr>
          <w:sz w:val="22"/>
          <w:szCs w:val="22"/>
        </w:rPr>
        <w:t>4</w:t>
      </w:r>
      <w:r w:rsidRPr="00624C11">
        <w:rPr>
          <w:sz w:val="22"/>
          <w:szCs w:val="22"/>
        </w:rPr>
        <w:t>.</w:t>
      </w:r>
    </w:p>
    <w:p w14:paraId="0FB4B7BB" w14:textId="6F8A5BA4" w:rsidR="00076476" w:rsidRDefault="00076476" w:rsidP="00186E7D">
      <w:pPr>
        <w:pStyle w:val="Corpotesto"/>
        <w:jc w:val="both"/>
        <w:rPr>
          <w:sz w:val="22"/>
          <w:szCs w:val="22"/>
        </w:rPr>
      </w:pPr>
      <w:r w:rsidRPr="00076476">
        <w:rPr>
          <w:sz w:val="22"/>
          <w:szCs w:val="22"/>
        </w:rPr>
        <w:t>In particolare si è proceduto sulla base dei criteri di ripartizione delle risorse disponibili fra le diverse modalità di utilizzo del Fondo Risorse decentrate ai sensi dell'art.  80 CCNL Comparto Funzioni locali relativo all’anno 202</w:t>
      </w:r>
      <w:r w:rsidR="007B60AD">
        <w:rPr>
          <w:sz w:val="22"/>
          <w:szCs w:val="22"/>
        </w:rPr>
        <w:t>4</w:t>
      </w:r>
      <w:r w:rsidRPr="00076476">
        <w:rPr>
          <w:sz w:val="22"/>
          <w:szCs w:val="22"/>
        </w:rPr>
        <w:t>, la seguente ripartizione percentuale, rispetto al totale di dette risorse, per i diversi utilizzi</w:t>
      </w:r>
      <w:r>
        <w:rPr>
          <w:sz w:val="22"/>
          <w:szCs w:val="22"/>
        </w:rPr>
        <w:t>:</w:t>
      </w:r>
    </w:p>
    <w:p w14:paraId="47870F9A" w14:textId="77777777" w:rsidR="007B60AD" w:rsidRPr="00565519" w:rsidRDefault="007B60AD" w:rsidP="007B60AD">
      <w:pPr>
        <w:pStyle w:val="Titolo11"/>
        <w:rPr>
          <w:rFonts w:ascii="Times New Roman" w:hAnsi="Times New Roman" w:cs="Times New Roman"/>
          <w:b w:val="0"/>
          <w:i w:val="0"/>
          <w:sz w:val="24"/>
          <w:szCs w:val="24"/>
          <w:lang w:val="it-IT"/>
        </w:rPr>
      </w:pPr>
    </w:p>
    <w:tbl>
      <w:tblPr>
        <w:tblStyle w:val="Grigliatabella"/>
        <w:tblW w:w="0" w:type="auto"/>
        <w:tblInd w:w="121" w:type="dxa"/>
        <w:tblLook w:val="04A0" w:firstRow="1" w:lastRow="0" w:firstColumn="1" w:lastColumn="0" w:noHBand="0" w:noVBand="1"/>
      </w:tblPr>
      <w:tblGrid>
        <w:gridCol w:w="621"/>
        <w:gridCol w:w="4990"/>
        <w:gridCol w:w="2492"/>
        <w:gridCol w:w="1404"/>
      </w:tblGrid>
      <w:tr w:rsidR="007B60AD" w:rsidRPr="004D16F2" w14:paraId="77E745FC" w14:textId="77777777" w:rsidTr="00DA74AE">
        <w:tc>
          <w:tcPr>
            <w:tcW w:w="624" w:type="dxa"/>
          </w:tcPr>
          <w:p w14:paraId="236E5E64"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a</w:t>
            </w:r>
          </w:p>
        </w:tc>
        <w:tc>
          <w:tcPr>
            <w:tcW w:w="5487" w:type="dxa"/>
          </w:tcPr>
          <w:p w14:paraId="5C27D4D4"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Premi correlati alla performance organizzativa</w:t>
            </w:r>
          </w:p>
        </w:tc>
        <w:tc>
          <w:tcPr>
            <w:tcW w:w="2694" w:type="dxa"/>
          </w:tcPr>
          <w:p w14:paraId="7F1CB32F"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    almeno il 32,41%        </w:t>
            </w:r>
          </w:p>
        </w:tc>
        <w:tc>
          <w:tcPr>
            <w:tcW w:w="1357" w:type="dxa"/>
            <w:shd w:val="clear" w:color="auto" w:fill="auto"/>
            <w:vAlign w:val="bottom"/>
          </w:tcPr>
          <w:p w14:paraId="0B13210A"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52.436,63</w:t>
            </w:r>
          </w:p>
        </w:tc>
      </w:tr>
      <w:tr w:rsidR="007B60AD" w:rsidRPr="004D16F2" w14:paraId="7E4369E6" w14:textId="77777777" w:rsidTr="00DA74AE">
        <w:tc>
          <w:tcPr>
            <w:tcW w:w="624" w:type="dxa"/>
          </w:tcPr>
          <w:p w14:paraId="7E74CE14"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b</w:t>
            </w:r>
          </w:p>
        </w:tc>
        <w:tc>
          <w:tcPr>
            <w:tcW w:w="5487" w:type="dxa"/>
          </w:tcPr>
          <w:p w14:paraId="6212C714"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premi correlati alla performance individuale</w:t>
            </w:r>
          </w:p>
        </w:tc>
        <w:tc>
          <w:tcPr>
            <w:tcW w:w="2694" w:type="dxa"/>
          </w:tcPr>
          <w:p w14:paraId="056C472D"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il 30%                     </w:t>
            </w:r>
          </w:p>
        </w:tc>
        <w:tc>
          <w:tcPr>
            <w:tcW w:w="1357" w:type="dxa"/>
            <w:shd w:val="clear" w:color="auto" w:fill="auto"/>
            <w:vAlign w:val="bottom"/>
          </w:tcPr>
          <w:p w14:paraId="25F334F5"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48.547,39</w:t>
            </w:r>
          </w:p>
        </w:tc>
      </w:tr>
      <w:tr w:rsidR="007B60AD" w:rsidRPr="004D16F2" w14:paraId="32620286" w14:textId="77777777" w:rsidTr="00DA74AE">
        <w:tc>
          <w:tcPr>
            <w:tcW w:w="624" w:type="dxa"/>
          </w:tcPr>
          <w:p w14:paraId="7B42A705"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c</w:t>
            </w:r>
          </w:p>
        </w:tc>
        <w:tc>
          <w:tcPr>
            <w:tcW w:w="5487" w:type="dxa"/>
          </w:tcPr>
          <w:p w14:paraId="470E5E6E"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Indennità condizioni di lavoro</w:t>
            </w:r>
          </w:p>
        </w:tc>
        <w:tc>
          <w:tcPr>
            <w:tcW w:w="2694" w:type="dxa"/>
          </w:tcPr>
          <w:p w14:paraId="0D49864B"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fino al   2,64%                            </w:t>
            </w:r>
          </w:p>
        </w:tc>
        <w:tc>
          <w:tcPr>
            <w:tcW w:w="1357" w:type="dxa"/>
            <w:shd w:val="clear" w:color="auto" w:fill="auto"/>
            <w:vAlign w:val="bottom"/>
          </w:tcPr>
          <w:p w14:paraId="58B1A70A"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4.265,00</w:t>
            </w:r>
          </w:p>
        </w:tc>
      </w:tr>
      <w:tr w:rsidR="007B60AD" w:rsidRPr="004D16F2" w14:paraId="5484937F" w14:textId="77777777" w:rsidTr="00DA74AE">
        <w:tc>
          <w:tcPr>
            <w:tcW w:w="624" w:type="dxa"/>
          </w:tcPr>
          <w:p w14:paraId="7507AAFD"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d</w:t>
            </w:r>
          </w:p>
        </w:tc>
        <w:tc>
          <w:tcPr>
            <w:tcW w:w="5487" w:type="dxa"/>
          </w:tcPr>
          <w:p w14:paraId="4237A3B8"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compensi per specifiche responsabilità </w:t>
            </w:r>
          </w:p>
        </w:tc>
        <w:tc>
          <w:tcPr>
            <w:tcW w:w="2694" w:type="dxa"/>
          </w:tcPr>
          <w:p w14:paraId="6B90B4C4"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fino al 24,22%                         </w:t>
            </w:r>
          </w:p>
        </w:tc>
        <w:tc>
          <w:tcPr>
            <w:tcW w:w="1357" w:type="dxa"/>
            <w:shd w:val="clear" w:color="auto" w:fill="auto"/>
            <w:vAlign w:val="bottom"/>
          </w:tcPr>
          <w:p w14:paraId="2973A4C3"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39.200,00</w:t>
            </w:r>
          </w:p>
        </w:tc>
      </w:tr>
      <w:tr w:rsidR="007B60AD" w:rsidRPr="00B30B4F" w14:paraId="6326D7E6" w14:textId="77777777" w:rsidTr="00DA74AE">
        <w:tc>
          <w:tcPr>
            <w:tcW w:w="624" w:type="dxa"/>
          </w:tcPr>
          <w:p w14:paraId="7D1B53FD"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e</w:t>
            </w:r>
          </w:p>
        </w:tc>
        <w:tc>
          <w:tcPr>
            <w:tcW w:w="5487" w:type="dxa"/>
          </w:tcPr>
          <w:p w14:paraId="1C71FD7C"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compensi previsti da specifiche disposizioni di legge (concorsi a premio art.43 della legge 449/97)</w:t>
            </w:r>
          </w:p>
        </w:tc>
        <w:tc>
          <w:tcPr>
            <w:tcW w:w="2694" w:type="dxa"/>
          </w:tcPr>
          <w:p w14:paraId="5C16392A"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p>
          <w:p w14:paraId="5B9BE629"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il 0,08%</w:t>
            </w:r>
          </w:p>
        </w:tc>
        <w:tc>
          <w:tcPr>
            <w:tcW w:w="1357" w:type="dxa"/>
            <w:shd w:val="clear" w:color="auto" w:fill="auto"/>
            <w:vAlign w:val="center"/>
          </w:tcPr>
          <w:p w14:paraId="06D98DF0"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125,61</w:t>
            </w:r>
          </w:p>
        </w:tc>
      </w:tr>
      <w:tr w:rsidR="007B60AD" w:rsidRPr="004D16F2" w14:paraId="061193A1" w14:textId="77777777" w:rsidTr="00DA74AE">
        <w:tc>
          <w:tcPr>
            <w:tcW w:w="624" w:type="dxa"/>
          </w:tcPr>
          <w:p w14:paraId="643576BB"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f</w:t>
            </w:r>
          </w:p>
        </w:tc>
        <w:tc>
          <w:tcPr>
            <w:tcW w:w="5487" w:type="dxa"/>
          </w:tcPr>
          <w:p w14:paraId="7218DE83"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differenziali stipendiali con decorrenza </w:t>
            </w:r>
          </w:p>
          <w:p w14:paraId="3F1D4E16"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nell'anno di riferimento</w:t>
            </w:r>
          </w:p>
        </w:tc>
        <w:tc>
          <w:tcPr>
            <w:tcW w:w="2694" w:type="dxa"/>
          </w:tcPr>
          <w:p w14:paraId="62497DA1"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                       </w:t>
            </w:r>
          </w:p>
          <w:p w14:paraId="386568F3"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 xml:space="preserve"> il 3,24%</w:t>
            </w:r>
          </w:p>
        </w:tc>
        <w:tc>
          <w:tcPr>
            <w:tcW w:w="1357" w:type="dxa"/>
            <w:shd w:val="clear" w:color="auto" w:fill="auto"/>
            <w:vAlign w:val="bottom"/>
          </w:tcPr>
          <w:p w14:paraId="2577F57D"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rPr>
            </w:pPr>
            <w:r w:rsidRPr="00D02E6A">
              <w:rPr>
                <w:rFonts w:ascii="Times New Roman" w:hAnsi="Times New Roman" w:cs="Times New Roman"/>
                <w:b w:val="0"/>
                <w:i w:val="0"/>
                <w:sz w:val="20"/>
                <w:szCs w:val="20"/>
              </w:rPr>
              <w:t>5.250,00</w:t>
            </w:r>
          </w:p>
        </w:tc>
      </w:tr>
      <w:tr w:rsidR="007B60AD" w:rsidRPr="002812AA" w14:paraId="4FA10F7F" w14:textId="77777777" w:rsidTr="00DA74AE">
        <w:tc>
          <w:tcPr>
            <w:tcW w:w="624" w:type="dxa"/>
          </w:tcPr>
          <w:p w14:paraId="6B594B72"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lastRenderedPageBreak/>
              <w:t>g</w:t>
            </w:r>
          </w:p>
        </w:tc>
        <w:tc>
          <w:tcPr>
            <w:tcW w:w="5487" w:type="dxa"/>
          </w:tcPr>
          <w:p w14:paraId="5BB04AF3"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Risorse destinate all’attuazione dei piani di welfare</w:t>
            </w:r>
          </w:p>
        </w:tc>
        <w:tc>
          <w:tcPr>
            <w:tcW w:w="2694" w:type="dxa"/>
          </w:tcPr>
          <w:p w14:paraId="153833E8"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p>
          <w:p w14:paraId="282C06C7"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il 7,42%</w:t>
            </w:r>
          </w:p>
        </w:tc>
        <w:tc>
          <w:tcPr>
            <w:tcW w:w="1357" w:type="dxa"/>
            <w:shd w:val="clear" w:color="auto" w:fill="auto"/>
            <w:vAlign w:val="bottom"/>
          </w:tcPr>
          <w:p w14:paraId="3C0CBC50"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12.000,00</w:t>
            </w:r>
          </w:p>
        </w:tc>
      </w:tr>
      <w:tr w:rsidR="007B60AD" w:rsidRPr="002812AA" w14:paraId="68440BDF" w14:textId="77777777" w:rsidTr="00DA74AE">
        <w:tc>
          <w:tcPr>
            <w:tcW w:w="624" w:type="dxa"/>
          </w:tcPr>
          <w:p w14:paraId="70DC4B15"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p>
        </w:tc>
        <w:tc>
          <w:tcPr>
            <w:tcW w:w="5487" w:type="dxa"/>
          </w:tcPr>
          <w:p w14:paraId="4E395D90" w14:textId="77777777" w:rsidR="007B60AD" w:rsidRPr="00D02E6A" w:rsidRDefault="007B60AD" w:rsidP="00DA74AE">
            <w:pPr>
              <w:pStyle w:val="Titolo11"/>
              <w:spacing w:line="340" w:lineRule="exact"/>
              <w:ind w:right="172"/>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TOTALE</w:t>
            </w:r>
          </w:p>
        </w:tc>
        <w:tc>
          <w:tcPr>
            <w:tcW w:w="2694" w:type="dxa"/>
          </w:tcPr>
          <w:p w14:paraId="09C73DC0"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100%</w:t>
            </w:r>
          </w:p>
        </w:tc>
        <w:tc>
          <w:tcPr>
            <w:tcW w:w="1357" w:type="dxa"/>
            <w:shd w:val="clear" w:color="auto" w:fill="auto"/>
            <w:vAlign w:val="bottom"/>
          </w:tcPr>
          <w:p w14:paraId="3B989976" w14:textId="77777777" w:rsidR="007B60AD" w:rsidRPr="00D02E6A" w:rsidRDefault="007B60AD" w:rsidP="00DA74AE">
            <w:pPr>
              <w:pStyle w:val="Titolo11"/>
              <w:spacing w:line="340" w:lineRule="exact"/>
              <w:ind w:right="172"/>
              <w:jc w:val="right"/>
              <w:rPr>
                <w:rFonts w:ascii="Times New Roman" w:hAnsi="Times New Roman" w:cs="Times New Roman"/>
                <w:b w:val="0"/>
                <w:i w:val="0"/>
                <w:sz w:val="20"/>
                <w:szCs w:val="20"/>
                <w:lang w:val="it-IT"/>
              </w:rPr>
            </w:pPr>
            <w:r w:rsidRPr="00D02E6A">
              <w:rPr>
                <w:rFonts w:ascii="Times New Roman" w:hAnsi="Times New Roman" w:cs="Times New Roman"/>
                <w:b w:val="0"/>
                <w:i w:val="0"/>
                <w:sz w:val="20"/>
                <w:szCs w:val="20"/>
                <w:lang w:val="it-IT"/>
              </w:rPr>
              <w:t>161.824,62</w:t>
            </w:r>
          </w:p>
        </w:tc>
      </w:tr>
    </w:tbl>
    <w:p w14:paraId="3089EDCB" w14:textId="77777777" w:rsidR="00267AB5" w:rsidRPr="00267AB5" w:rsidRDefault="00267AB5" w:rsidP="00267AB5">
      <w:pPr>
        <w:pStyle w:val="Corpotesto"/>
        <w:jc w:val="both"/>
        <w:rPr>
          <w:bCs/>
        </w:rPr>
      </w:pPr>
      <w:r w:rsidRPr="00267AB5">
        <w:rPr>
          <w:bCs/>
        </w:rPr>
        <w:t xml:space="preserve"> Le cifre stampate possono non ricomporre i totali a causa degli arrotondamenti.</w:t>
      </w:r>
    </w:p>
    <w:p w14:paraId="0606CA50" w14:textId="591A7B7C" w:rsidR="005C1662" w:rsidRPr="00624C11" w:rsidRDefault="00267AB5" w:rsidP="007A2BD6">
      <w:pPr>
        <w:tabs>
          <w:tab w:val="left" w:pos="7088"/>
          <w:tab w:val="left" w:pos="9070"/>
        </w:tabs>
        <w:spacing w:before="240" w:line="283" w:lineRule="exact"/>
        <w:jc w:val="both"/>
        <w:rPr>
          <w:rFonts w:ascii="Times New Roman" w:eastAsia="Times New Roman" w:hAnsi="Times New Roman" w:cs="Times New Roman"/>
          <w:lang w:eastAsia="ar-SA"/>
        </w:rPr>
      </w:pPr>
      <w:r>
        <w:rPr>
          <w:rFonts w:ascii="Times New Roman" w:eastAsia="Times New Roman" w:hAnsi="Times New Roman" w:cs="Times New Roman"/>
          <w:lang w:eastAsia="ar-SA"/>
        </w:rPr>
        <w:t>Ai fini della c</w:t>
      </w:r>
      <w:r w:rsidR="005C1662" w:rsidRPr="00624C11">
        <w:rPr>
          <w:rFonts w:ascii="Times New Roman" w:eastAsia="Times New Roman" w:hAnsi="Times New Roman" w:cs="Times New Roman"/>
          <w:lang w:eastAsia="ar-SA"/>
        </w:rPr>
        <w:t>orresponsione del trattamento accessorio si applicherà il sistema di valutazione e misurazione della performance sia organizzativa che individuale che risulta aggiornato dal D.lgs 74/2017 e che recepisce le “Linee guida per le Camere di Commercio sul sistema di misurazione e valutazione della performance” predisposte da Unioncamere Nazionale di concerto con il Dipartimento della Funzione Pubblica di cui alla delibera di Giunta Camerale n. 57 del 10/12/2019.</w:t>
      </w:r>
    </w:p>
    <w:p w14:paraId="4D8C1409" w14:textId="77777777" w:rsidR="003E4854" w:rsidRDefault="003E4854" w:rsidP="007A2BD6">
      <w:pPr>
        <w:tabs>
          <w:tab w:val="left" w:pos="7088"/>
          <w:tab w:val="left" w:pos="9070"/>
        </w:tabs>
        <w:spacing w:before="240" w:line="283" w:lineRule="exact"/>
        <w:jc w:val="both"/>
        <w:rPr>
          <w:rFonts w:ascii="Times New Roman" w:eastAsia="Times New Roman" w:hAnsi="Times New Roman" w:cs="Times New Roman"/>
          <w:lang w:eastAsia="ar-SA"/>
        </w:rPr>
      </w:pPr>
      <w:r w:rsidRPr="00624C11">
        <w:rPr>
          <w:rFonts w:ascii="Times New Roman" w:eastAsia="Times New Roman" w:hAnsi="Times New Roman" w:cs="Times New Roman"/>
          <w:lang w:eastAsia="ar-SA"/>
        </w:rPr>
        <w:t>Gli importi della "p</w:t>
      </w:r>
      <w:r w:rsidR="0022328A" w:rsidRPr="00624C11">
        <w:rPr>
          <w:rFonts w:ascii="Times New Roman" w:eastAsia="Times New Roman" w:hAnsi="Times New Roman" w:cs="Times New Roman"/>
          <w:lang w:eastAsia="ar-SA"/>
        </w:rPr>
        <w:t>erformance</w:t>
      </w:r>
      <w:r w:rsidR="005C1662" w:rsidRPr="00624C11">
        <w:rPr>
          <w:rFonts w:ascii="Times New Roman" w:eastAsia="Times New Roman" w:hAnsi="Times New Roman" w:cs="Times New Roman"/>
          <w:lang w:eastAsia="ar-SA"/>
        </w:rPr>
        <w:t xml:space="preserve"> individuale</w:t>
      </w:r>
      <w:r w:rsidRPr="00624C11">
        <w:rPr>
          <w:rFonts w:ascii="Times New Roman" w:eastAsia="Times New Roman" w:hAnsi="Times New Roman" w:cs="Times New Roman"/>
          <w:lang w:eastAsia="ar-SA"/>
        </w:rPr>
        <w:t>"</w:t>
      </w:r>
      <w:r w:rsidR="00624C11">
        <w:rPr>
          <w:rFonts w:ascii="Times New Roman" w:eastAsia="Times New Roman" w:hAnsi="Times New Roman" w:cs="Times New Roman"/>
          <w:lang w:eastAsia="ar-SA"/>
        </w:rPr>
        <w:t>,</w:t>
      </w:r>
      <w:r w:rsidR="00FA0F6A" w:rsidRPr="00624C11">
        <w:rPr>
          <w:rFonts w:ascii="Times New Roman" w:eastAsia="Times New Roman" w:hAnsi="Times New Roman" w:cs="Times New Roman"/>
          <w:lang w:eastAsia="ar-SA"/>
        </w:rPr>
        <w:t xml:space="preserve"> pertanto,</w:t>
      </w:r>
      <w:r w:rsidRPr="00624C11">
        <w:rPr>
          <w:rFonts w:ascii="Times New Roman" w:eastAsia="Times New Roman" w:hAnsi="Times New Roman" w:cs="Times New Roman"/>
          <w:lang w:eastAsia="ar-SA"/>
        </w:rPr>
        <w:t xml:space="preserve"> vengono destinati ai dipendenti con prestazioni positive quale risultato aggiuntivo apprezzabile rispetto al risultato atteso dalla normale prestazione lavorativa. </w:t>
      </w:r>
    </w:p>
    <w:p w14:paraId="11E98739" w14:textId="2EE223B5" w:rsidR="003E4854" w:rsidRDefault="003E4854" w:rsidP="007A2BD6">
      <w:pPr>
        <w:spacing w:line="266" w:lineRule="exact"/>
        <w:jc w:val="both"/>
        <w:rPr>
          <w:rFonts w:ascii="Times New Roman" w:eastAsia="Times New Roman" w:hAnsi="Times New Roman" w:cs="Times New Roman"/>
          <w:lang w:eastAsia="ar-SA"/>
        </w:rPr>
      </w:pPr>
      <w:r w:rsidRPr="00624C11">
        <w:rPr>
          <w:rFonts w:ascii="Times New Roman" w:eastAsia="Times New Roman" w:hAnsi="Times New Roman" w:cs="Times New Roman"/>
          <w:lang w:eastAsia="ar-SA"/>
        </w:rPr>
        <w:t>Il sistema d'incentivazione ha lo scopo di garantire adeguate risposte e riconoscimenti economici a coloro che avranno raggiunto il livello di prestazione/risultato attesi e predefiniti in sede di assegnazione di obiettivi.</w:t>
      </w:r>
    </w:p>
    <w:p w14:paraId="680D8219" w14:textId="77777777" w:rsidR="007A2BD6" w:rsidRPr="00624C11" w:rsidRDefault="007A2BD6" w:rsidP="007A2BD6">
      <w:pPr>
        <w:pStyle w:val="Corpotesto"/>
        <w:jc w:val="both"/>
        <w:rPr>
          <w:sz w:val="22"/>
          <w:szCs w:val="22"/>
        </w:rPr>
      </w:pPr>
      <w:r w:rsidRPr="00624C11">
        <w:rPr>
          <w:sz w:val="22"/>
          <w:szCs w:val="22"/>
        </w:rPr>
        <w:t>Circa il rispetto dei principi di legge e di contratto con riferimento alle materie oggetto di contrattazione integrativa, si fa presente che l’Accordo di cui trattasi si è limitato a regolare l’aspetto economico da definire nell’anno per le materie oggetto di contrattazione decentrata.</w:t>
      </w:r>
    </w:p>
    <w:p w14:paraId="37420BE5" w14:textId="11F03D24" w:rsidR="00C86C75" w:rsidRPr="007A2BD6" w:rsidRDefault="00C86C75" w:rsidP="00C86C75">
      <w:pPr>
        <w:spacing w:line="266" w:lineRule="exact"/>
        <w:jc w:val="both"/>
        <w:rPr>
          <w:rFonts w:ascii="Times New Roman" w:eastAsia="Times New Roman" w:hAnsi="Times New Roman" w:cs="Times New Roman"/>
          <w:lang w:eastAsia="ar-SA"/>
        </w:rPr>
      </w:pPr>
      <w:r>
        <w:rPr>
          <w:rFonts w:ascii="Times New Roman" w:eastAsia="Times New Roman" w:hAnsi="Times New Roman" w:cs="Times New Roman"/>
          <w:lang w:eastAsia="ar-SA"/>
        </w:rPr>
        <w:t>In particolare l</w:t>
      </w:r>
      <w:r w:rsidRPr="007A2BD6">
        <w:rPr>
          <w:rFonts w:ascii="Times New Roman" w:eastAsia="Times New Roman" w:hAnsi="Times New Roman" w:cs="Times New Roman"/>
          <w:lang w:eastAsia="ar-SA"/>
        </w:rPr>
        <w:t>’accordo, nel rispetto dei criteri generali per l’erogazione dei “differenziali stipendiali” d</w:t>
      </w:r>
      <w:r>
        <w:rPr>
          <w:rFonts w:ascii="Times New Roman" w:eastAsia="Times New Roman" w:hAnsi="Times New Roman" w:cs="Times New Roman"/>
          <w:lang w:eastAsia="ar-SA"/>
        </w:rPr>
        <w:t xml:space="preserve">i cui </w:t>
      </w:r>
      <w:r w:rsidRPr="007A2BD6">
        <w:rPr>
          <w:rFonts w:ascii="Times New Roman" w:eastAsia="Times New Roman" w:hAnsi="Times New Roman" w:cs="Times New Roman"/>
          <w:lang w:eastAsia="ar-SA"/>
        </w:rPr>
        <w:t xml:space="preserve">all’art. 3 c.3 lett. a) del contratto decentrato integrativo del 27/12/2023, ha definito il numero di “differenziali stipendiali” attribuibili per l’anno 2024 </w:t>
      </w:r>
      <w:r>
        <w:rPr>
          <w:rFonts w:ascii="Times New Roman" w:eastAsia="Times New Roman" w:hAnsi="Times New Roman" w:cs="Times New Roman"/>
          <w:lang w:eastAsia="ar-SA"/>
        </w:rPr>
        <w:t>come di seguito riportato</w:t>
      </w:r>
      <w:r w:rsidRPr="007A2BD6">
        <w:rPr>
          <w:rFonts w:ascii="Times New Roman" w:eastAsia="Times New Roman" w:hAnsi="Times New Roman" w:cs="Times New Roman"/>
          <w:lang w:eastAsia="ar-SA"/>
        </w:rPr>
        <w:t>:</w:t>
      </w:r>
    </w:p>
    <w:p w14:paraId="7BCF2AED" w14:textId="77777777" w:rsidR="00C86C75" w:rsidRPr="007A2BD6" w:rsidRDefault="00C86C75" w:rsidP="00C86C75">
      <w:pPr>
        <w:tabs>
          <w:tab w:val="left" w:pos="348"/>
          <w:tab w:val="left" w:leader="dot" w:pos="2666"/>
        </w:tabs>
        <w:spacing w:before="240" w:after="56" w:line="288" w:lineRule="exact"/>
        <w:ind w:right="-461"/>
        <w:jc w:val="both"/>
        <w:rPr>
          <w:rFonts w:ascii="Times New Roman" w:eastAsia="Times New Roman" w:hAnsi="Times New Roman" w:cs="Times New Roman"/>
          <w:lang w:eastAsia="ar-SA"/>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796"/>
        <w:gridCol w:w="1566"/>
        <w:gridCol w:w="1836"/>
        <w:gridCol w:w="1518"/>
      </w:tblGrid>
      <w:tr w:rsidR="00C86C75" w:rsidRPr="00C60199" w14:paraId="4640CFEE" w14:textId="77777777" w:rsidTr="00DA74AE">
        <w:tc>
          <w:tcPr>
            <w:tcW w:w="1601" w:type="dxa"/>
            <w:shd w:val="clear" w:color="auto" w:fill="D9D9D9"/>
          </w:tcPr>
          <w:p w14:paraId="55AEC506"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ANNO</w:t>
            </w:r>
          </w:p>
        </w:tc>
        <w:tc>
          <w:tcPr>
            <w:tcW w:w="6716" w:type="dxa"/>
            <w:gridSpan w:val="4"/>
            <w:shd w:val="clear" w:color="auto" w:fill="D9D9D9"/>
          </w:tcPr>
          <w:p w14:paraId="2CC96BFF"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AREA</w:t>
            </w:r>
          </w:p>
        </w:tc>
      </w:tr>
      <w:tr w:rsidR="00C86C75" w:rsidRPr="00C60199" w14:paraId="03FF8A23" w14:textId="77777777" w:rsidTr="00DA74AE">
        <w:tc>
          <w:tcPr>
            <w:tcW w:w="1601" w:type="dxa"/>
            <w:shd w:val="clear" w:color="auto" w:fill="D9D9D9"/>
          </w:tcPr>
          <w:p w14:paraId="3F75C370"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p>
        </w:tc>
        <w:tc>
          <w:tcPr>
            <w:tcW w:w="1796" w:type="dxa"/>
            <w:shd w:val="clear" w:color="auto" w:fill="D9D9D9"/>
          </w:tcPr>
          <w:p w14:paraId="23D781B2"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Funzionari e EQ</w:t>
            </w:r>
          </w:p>
        </w:tc>
        <w:tc>
          <w:tcPr>
            <w:tcW w:w="1566" w:type="dxa"/>
            <w:shd w:val="clear" w:color="auto" w:fill="D9D9D9"/>
          </w:tcPr>
          <w:p w14:paraId="1D97539F"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Istruttori</w:t>
            </w:r>
          </w:p>
        </w:tc>
        <w:tc>
          <w:tcPr>
            <w:tcW w:w="1836" w:type="dxa"/>
            <w:shd w:val="clear" w:color="auto" w:fill="D9D9D9"/>
          </w:tcPr>
          <w:p w14:paraId="516FB8F4"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Operatori esperti</w:t>
            </w:r>
          </w:p>
        </w:tc>
        <w:tc>
          <w:tcPr>
            <w:tcW w:w="1518" w:type="dxa"/>
            <w:shd w:val="clear" w:color="auto" w:fill="D9D9D9"/>
          </w:tcPr>
          <w:p w14:paraId="46173957"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Operatori</w:t>
            </w:r>
          </w:p>
        </w:tc>
      </w:tr>
      <w:tr w:rsidR="00C86C75" w:rsidRPr="00C60199" w14:paraId="78FCCE48" w14:textId="77777777" w:rsidTr="00DA74AE">
        <w:tc>
          <w:tcPr>
            <w:tcW w:w="1601" w:type="dxa"/>
            <w:shd w:val="clear" w:color="auto" w:fill="auto"/>
          </w:tcPr>
          <w:p w14:paraId="7D6317C9"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2024</w:t>
            </w:r>
          </w:p>
        </w:tc>
        <w:tc>
          <w:tcPr>
            <w:tcW w:w="1796" w:type="dxa"/>
            <w:shd w:val="clear" w:color="auto" w:fill="auto"/>
          </w:tcPr>
          <w:p w14:paraId="5D946743"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n. 1</w:t>
            </w:r>
          </w:p>
        </w:tc>
        <w:tc>
          <w:tcPr>
            <w:tcW w:w="1566" w:type="dxa"/>
            <w:shd w:val="clear" w:color="auto" w:fill="auto"/>
          </w:tcPr>
          <w:p w14:paraId="214A6F40"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n. 4</w:t>
            </w:r>
          </w:p>
        </w:tc>
        <w:tc>
          <w:tcPr>
            <w:tcW w:w="1836" w:type="dxa"/>
            <w:shd w:val="clear" w:color="auto" w:fill="auto"/>
          </w:tcPr>
          <w:p w14:paraId="3F9AB208"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n. 1</w:t>
            </w:r>
          </w:p>
        </w:tc>
        <w:tc>
          <w:tcPr>
            <w:tcW w:w="1518" w:type="dxa"/>
            <w:shd w:val="clear" w:color="auto" w:fill="auto"/>
          </w:tcPr>
          <w:p w14:paraId="2CACB732" w14:textId="77777777" w:rsidR="00C86C75" w:rsidRPr="00C60199" w:rsidRDefault="00C86C75" w:rsidP="00DA74AE">
            <w:pPr>
              <w:tabs>
                <w:tab w:val="left" w:pos="348"/>
                <w:tab w:val="left" w:leader="dot" w:pos="2666"/>
              </w:tabs>
              <w:spacing w:before="240" w:after="56" w:line="288" w:lineRule="exact"/>
              <w:ind w:right="-461"/>
              <w:jc w:val="both"/>
              <w:rPr>
                <w:rFonts w:ascii="Times New Roman" w:eastAsia="Times New Roman" w:hAnsi="Times New Roman"/>
                <w:w w:val="105"/>
                <w:sz w:val="20"/>
                <w:szCs w:val="20"/>
              </w:rPr>
            </w:pPr>
            <w:r w:rsidRPr="00C60199">
              <w:rPr>
                <w:rFonts w:ascii="Times New Roman" w:eastAsia="Times New Roman" w:hAnsi="Times New Roman"/>
                <w:w w:val="105"/>
                <w:sz w:val="20"/>
                <w:szCs w:val="20"/>
              </w:rPr>
              <w:t>n. 0</w:t>
            </w:r>
          </w:p>
        </w:tc>
      </w:tr>
    </w:tbl>
    <w:p w14:paraId="6A4CD04E" w14:textId="77777777" w:rsidR="007A2BD6" w:rsidRPr="00624C11" w:rsidRDefault="007A2BD6" w:rsidP="003E4854">
      <w:pPr>
        <w:spacing w:line="266" w:lineRule="exact"/>
        <w:jc w:val="both"/>
        <w:rPr>
          <w:rFonts w:ascii="Times New Roman" w:eastAsia="Times New Roman" w:hAnsi="Times New Roman" w:cs="Times New Roman"/>
          <w:lang w:eastAsia="ar-SA"/>
        </w:rPr>
      </w:pPr>
    </w:p>
    <w:sectPr w:rsidR="007A2BD6" w:rsidRPr="00624C11" w:rsidSect="0051373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F7775" w14:textId="77777777" w:rsidR="00A529FE" w:rsidRDefault="00A529FE" w:rsidP="000C6870">
      <w:pPr>
        <w:spacing w:after="0" w:line="240" w:lineRule="auto"/>
      </w:pPr>
      <w:r>
        <w:separator/>
      </w:r>
    </w:p>
  </w:endnote>
  <w:endnote w:type="continuationSeparator" w:id="0">
    <w:p w14:paraId="5F077EBE" w14:textId="77777777" w:rsidR="00A529FE" w:rsidRDefault="00A529FE" w:rsidP="000C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altName w:val="Arial"/>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9773E" w14:textId="77777777" w:rsidR="00A529FE" w:rsidRDefault="00A529FE" w:rsidP="000C6870">
      <w:pPr>
        <w:spacing w:after="0" w:line="240" w:lineRule="auto"/>
      </w:pPr>
      <w:r>
        <w:separator/>
      </w:r>
    </w:p>
  </w:footnote>
  <w:footnote w:type="continuationSeparator" w:id="0">
    <w:p w14:paraId="68D29E94" w14:textId="77777777" w:rsidR="00A529FE" w:rsidRDefault="00A529FE" w:rsidP="000C6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B23E" w14:textId="77777777" w:rsidR="00C33A68" w:rsidRDefault="00C33A68">
    <w:pPr>
      <w:pStyle w:val="Intestazione"/>
    </w:pPr>
    <w:r w:rsidRPr="00C33A68">
      <w:rPr>
        <w:noProof/>
        <w:lang w:eastAsia="it-IT"/>
      </w:rPr>
      <w:drawing>
        <wp:inline distT="0" distB="0" distL="0" distR="0" wp14:anchorId="18C7647C" wp14:editId="3466B600">
          <wp:extent cx="3164840" cy="858520"/>
          <wp:effectExtent l="19050" t="0" r="0" b="0"/>
          <wp:docPr id="3" name="Immagine 1" descr="Z:\Regolazione_Mercato\Patriz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olazione_Mercato\Patrizia\logo.png"/>
                  <pic:cNvPicPr>
                    <a:picLocks noChangeAspect="1" noChangeArrowheads="1"/>
                  </pic:cNvPicPr>
                </pic:nvPicPr>
                <pic:blipFill>
                  <a:blip r:embed="rId1" cstate="print"/>
                  <a:srcRect/>
                  <a:stretch>
                    <a:fillRect/>
                  </a:stretch>
                </pic:blipFill>
                <pic:spPr bwMode="auto">
                  <a:xfrm>
                    <a:off x="0" y="0"/>
                    <a:ext cx="3164840" cy="858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D6B6AF"/>
    <w:multiLevelType w:val="multilevel"/>
    <w:tmpl w:val="360E4360"/>
    <w:lvl w:ilvl="0">
      <w:start w:val="1"/>
      <w:numFmt w:val="lowerLetter"/>
      <w:lvlText w:val="%1."/>
      <w:lvlJc w:val="left"/>
      <w:pPr>
        <w:tabs>
          <w:tab w:val="num" w:pos="0"/>
        </w:tabs>
        <w:ind w:left="480" w:hanging="480"/>
      </w:pPr>
      <w:rPr>
        <w:b w:val="0"/>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89D0DB3"/>
    <w:multiLevelType w:val="hybridMultilevel"/>
    <w:tmpl w:val="DBB2EB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E477AF5"/>
    <w:multiLevelType w:val="hybridMultilevel"/>
    <w:tmpl w:val="C50847FA"/>
    <w:lvl w:ilvl="0" w:tplc="8632A3D2">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7D624A"/>
    <w:multiLevelType w:val="hybridMultilevel"/>
    <w:tmpl w:val="3E9096A2"/>
    <w:lvl w:ilvl="0" w:tplc="75F80B8C">
      <w:start w:val="1"/>
      <w:numFmt w:val="lowerLetter"/>
      <w:lvlText w:val="%1."/>
      <w:lvlJc w:val="left"/>
      <w:pPr>
        <w:ind w:left="1080" w:hanging="360"/>
      </w:pPr>
      <w:rPr>
        <w:rFonts w:hint="default"/>
        <w:w w:val="72"/>
        <w:lang w:val="it-IT" w:eastAsia="it-IT" w:bidi="it-I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EAB3F91"/>
    <w:multiLevelType w:val="hybridMultilevel"/>
    <w:tmpl w:val="CC9AE720"/>
    <w:lvl w:ilvl="0" w:tplc="04100001">
      <w:start w:val="1"/>
      <w:numFmt w:val="bullet"/>
      <w:lvlText w:val=""/>
      <w:lvlJc w:val="left"/>
      <w:pPr>
        <w:ind w:left="2496" w:hanging="360"/>
      </w:pPr>
      <w:rPr>
        <w:rFonts w:ascii="Symbol" w:hAnsi="Symbol"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5" w15:restartNumberingAfterBreak="0">
    <w:nsid w:val="30D10074"/>
    <w:multiLevelType w:val="multilevel"/>
    <w:tmpl w:val="FB7086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CCA733"/>
    <w:multiLevelType w:val="multilevel"/>
    <w:tmpl w:val="D282407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351C3B22"/>
    <w:multiLevelType w:val="hybridMultilevel"/>
    <w:tmpl w:val="ACC486BC"/>
    <w:lvl w:ilvl="0" w:tplc="FE6E494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49797CFA"/>
    <w:multiLevelType w:val="hybridMultilevel"/>
    <w:tmpl w:val="59D48344"/>
    <w:lvl w:ilvl="0" w:tplc="8632A3D2">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9" w15:restartNumberingAfterBreak="0">
    <w:nsid w:val="4EBA7031"/>
    <w:multiLevelType w:val="hybridMultilevel"/>
    <w:tmpl w:val="1EE481EC"/>
    <w:lvl w:ilvl="0" w:tplc="9850A1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DA05C6"/>
    <w:multiLevelType w:val="hybridMultilevel"/>
    <w:tmpl w:val="C846A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E8712F"/>
    <w:multiLevelType w:val="hybridMultilevel"/>
    <w:tmpl w:val="E9F27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00752F"/>
    <w:multiLevelType w:val="multilevel"/>
    <w:tmpl w:val="4C44270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numFmt w:val="bullet"/>
      <w:lvlText w:val="-"/>
      <w:lvlJc w:val="left"/>
      <w:pPr>
        <w:ind w:left="1440" w:hanging="360"/>
      </w:pPr>
      <w:rPr>
        <w:rFonts w:ascii="Futura Bk BT" w:eastAsia="Times New Roman" w:hAnsi="Futura Bk BT"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265155"/>
    <w:multiLevelType w:val="hybridMultilevel"/>
    <w:tmpl w:val="818EC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5215045"/>
    <w:multiLevelType w:val="hybridMultilevel"/>
    <w:tmpl w:val="0A1C17D6"/>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7AA96A6D"/>
    <w:multiLevelType w:val="hybridMultilevel"/>
    <w:tmpl w:val="5A6095E2"/>
    <w:lvl w:ilvl="0" w:tplc="8632A3D2">
      <w:start w:val="1"/>
      <w:numFmt w:val="decimal"/>
      <w:lvlText w:val="%1)"/>
      <w:lvlJc w:val="left"/>
      <w:pPr>
        <w:ind w:left="993"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9"/>
  </w:num>
  <w:num w:numId="2">
    <w:abstractNumId w:val="14"/>
  </w:num>
  <w:num w:numId="3">
    <w:abstractNumId w:val="7"/>
  </w:num>
  <w:num w:numId="4">
    <w:abstractNumId w:val="4"/>
  </w:num>
  <w:num w:numId="5">
    <w:abstractNumId w:val="1"/>
  </w:num>
  <w:num w:numId="6">
    <w:abstractNumId w:val="11"/>
  </w:num>
  <w:num w:numId="7">
    <w:abstractNumId w:val="10"/>
  </w:num>
  <w:num w:numId="8">
    <w:abstractNumId w:val="8"/>
  </w:num>
  <w:num w:numId="9">
    <w:abstractNumId w:val="2"/>
  </w:num>
  <w:num w:numId="10">
    <w:abstractNumId w:val="15"/>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0"/>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9C"/>
    <w:rsid w:val="00002938"/>
    <w:rsid w:val="000169D6"/>
    <w:rsid w:val="000523AE"/>
    <w:rsid w:val="00064063"/>
    <w:rsid w:val="00066A7A"/>
    <w:rsid w:val="000756D2"/>
    <w:rsid w:val="00076476"/>
    <w:rsid w:val="000864A2"/>
    <w:rsid w:val="0009713B"/>
    <w:rsid w:val="000A7177"/>
    <w:rsid w:val="000C6870"/>
    <w:rsid w:val="000C69E6"/>
    <w:rsid w:val="000E3E20"/>
    <w:rsid w:val="00100BDC"/>
    <w:rsid w:val="0010139D"/>
    <w:rsid w:val="00103EAB"/>
    <w:rsid w:val="00112D95"/>
    <w:rsid w:val="00123829"/>
    <w:rsid w:val="001241A3"/>
    <w:rsid w:val="001344CC"/>
    <w:rsid w:val="00154940"/>
    <w:rsid w:val="00156E3A"/>
    <w:rsid w:val="00161FF8"/>
    <w:rsid w:val="00166E2E"/>
    <w:rsid w:val="00167F06"/>
    <w:rsid w:val="0017261A"/>
    <w:rsid w:val="001761FC"/>
    <w:rsid w:val="00176783"/>
    <w:rsid w:val="00177AEC"/>
    <w:rsid w:val="00182975"/>
    <w:rsid w:val="00186E7D"/>
    <w:rsid w:val="0019041B"/>
    <w:rsid w:val="001956F9"/>
    <w:rsid w:val="001A7C6D"/>
    <w:rsid w:val="001C6A7D"/>
    <w:rsid w:val="001D7021"/>
    <w:rsid w:val="001E2203"/>
    <w:rsid w:val="002017F4"/>
    <w:rsid w:val="00202D1A"/>
    <w:rsid w:val="00207C4A"/>
    <w:rsid w:val="0022328A"/>
    <w:rsid w:val="0022342A"/>
    <w:rsid w:val="00240E26"/>
    <w:rsid w:val="00257B82"/>
    <w:rsid w:val="00262451"/>
    <w:rsid w:val="00267AB5"/>
    <w:rsid w:val="00273B71"/>
    <w:rsid w:val="002964A5"/>
    <w:rsid w:val="002A19AA"/>
    <w:rsid w:val="002A1CE8"/>
    <w:rsid w:val="002B4FBD"/>
    <w:rsid w:val="002C1E77"/>
    <w:rsid w:val="002C429C"/>
    <w:rsid w:val="002D2855"/>
    <w:rsid w:val="002D36BB"/>
    <w:rsid w:val="002E3B90"/>
    <w:rsid w:val="002F465C"/>
    <w:rsid w:val="00305619"/>
    <w:rsid w:val="00326919"/>
    <w:rsid w:val="00326CA0"/>
    <w:rsid w:val="00330AC9"/>
    <w:rsid w:val="00330DC9"/>
    <w:rsid w:val="0033621C"/>
    <w:rsid w:val="00352204"/>
    <w:rsid w:val="0036005A"/>
    <w:rsid w:val="00374FE9"/>
    <w:rsid w:val="00375EC1"/>
    <w:rsid w:val="00395897"/>
    <w:rsid w:val="003A00FE"/>
    <w:rsid w:val="003A4A5D"/>
    <w:rsid w:val="003A71B5"/>
    <w:rsid w:val="003D1CF9"/>
    <w:rsid w:val="003D5973"/>
    <w:rsid w:val="003D6D65"/>
    <w:rsid w:val="003E4854"/>
    <w:rsid w:val="003F3798"/>
    <w:rsid w:val="00404680"/>
    <w:rsid w:val="0041638E"/>
    <w:rsid w:val="00422E11"/>
    <w:rsid w:val="004235CC"/>
    <w:rsid w:val="00433ADE"/>
    <w:rsid w:val="0043595A"/>
    <w:rsid w:val="0044178B"/>
    <w:rsid w:val="00451CEC"/>
    <w:rsid w:val="00456CAB"/>
    <w:rsid w:val="00474439"/>
    <w:rsid w:val="0048765E"/>
    <w:rsid w:val="00494983"/>
    <w:rsid w:val="004A5083"/>
    <w:rsid w:val="004C56A3"/>
    <w:rsid w:val="004D5679"/>
    <w:rsid w:val="004E3E8F"/>
    <w:rsid w:val="00504845"/>
    <w:rsid w:val="0051373C"/>
    <w:rsid w:val="0052054F"/>
    <w:rsid w:val="00550A00"/>
    <w:rsid w:val="005532CF"/>
    <w:rsid w:val="0057021B"/>
    <w:rsid w:val="00577D61"/>
    <w:rsid w:val="00577F6E"/>
    <w:rsid w:val="00592CED"/>
    <w:rsid w:val="005A5667"/>
    <w:rsid w:val="005B328F"/>
    <w:rsid w:val="005B755C"/>
    <w:rsid w:val="005C1662"/>
    <w:rsid w:val="005C3D9C"/>
    <w:rsid w:val="005E35AE"/>
    <w:rsid w:val="005F1672"/>
    <w:rsid w:val="005F4D02"/>
    <w:rsid w:val="00611965"/>
    <w:rsid w:val="00624C11"/>
    <w:rsid w:val="006314E5"/>
    <w:rsid w:val="00640248"/>
    <w:rsid w:val="00646467"/>
    <w:rsid w:val="006616E0"/>
    <w:rsid w:val="00662215"/>
    <w:rsid w:val="00680A24"/>
    <w:rsid w:val="00680B4F"/>
    <w:rsid w:val="00690B37"/>
    <w:rsid w:val="006B298F"/>
    <w:rsid w:val="006B4AFC"/>
    <w:rsid w:val="006E18C4"/>
    <w:rsid w:val="006F6792"/>
    <w:rsid w:val="007059FC"/>
    <w:rsid w:val="00717607"/>
    <w:rsid w:val="0072112F"/>
    <w:rsid w:val="00727ACE"/>
    <w:rsid w:val="007352BE"/>
    <w:rsid w:val="007355DC"/>
    <w:rsid w:val="0075050B"/>
    <w:rsid w:val="0075111A"/>
    <w:rsid w:val="00753727"/>
    <w:rsid w:val="00771827"/>
    <w:rsid w:val="00772228"/>
    <w:rsid w:val="00775BC7"/>
    <w:rsid w:val="007778C6"/>
    <w:rsid w:val="007A2BD6"/>
    <w:rsid w:val="007A2E98"/>
    <w:rsid w:val="007A39D3"/>
    <w:rsid w:val="007A45C7"/>
    <w:rsid w:val="007B60AD"/>
    <w:rsid w:val="007C74F3"/>
    <w:rsid w:val="007E10CA"/>
    <w:rsid w:val="007E49DB"/>
    <w:rsid w:val="00821578"/>
    <w:rsid w:val="008245EF"/>
    <w:rsid w:val="00831EAC"/>
    <w:rsid w:val="00843AD4"/>
    <w:rsid w:val="008522DB"/>
    <w:rsid w:val="00854AB1"/>
    <w:rsid w:val="008602EE"/>
    <w:rsid w:val="00865529"/>
    <w:rsid w:val="00873175"/>
    <w:rsid w:val="00892DB7"/>
    <w:rsid w:val="00896F57"/>
    <w:rsid w:val="008B0CF4"/>
    <w:rsid w:val="008B6FBD"/>
    <w:rsid w:val="008B775F"/>
    <w:rsid w:val="008D42ED"/>
    <w:rsid w:val="008F02E9"/>
    <w:rsid w:val="008F4D32"/>
    <w:rsid w:val="00906D2C"/>
    <w:rsid w:val="00907861"/>
    <w:rsid w:val="0092177B"/>
    <w:rsid w:val="009235F7"/>
    <w:rsid w:val="009236ED"/>
    <w:rsid w:val="00927C35"/>
    <w:rsid w:val="00943827"/>
    <w:rsid w:val="00961D66"/>
    <w:rsid w:val="00962BFF"/>
    <w:rsid w:val="009664DF"/>
    <w:rsid w:val="00970E44"/>
    <w:rsid w:val="009956A3"/>
    <w:rsid w:val="009B03A2"/>
    <w:rsid w:val="009B09BE"/>
    <w:rsid w:val="009D0CBC"/>
    <w:rsid w:val="009E04D7"/>
    <w:rsid w:val="009F0DAD"/>
    <w:rsid w:val="009F4C37"/>
    <w:rsid w:val="00A1536D"/>
    <w:rsid w:val="00A24C1E"/>
    <w:rsid w:val="00A346FD"/>
    <w:rsid w:val="00A350C7"/>
    <w:rsid w:val="00A362BF"/>
    <w:rsid w:val="00A37ED1"/>
    <w:rsid w:val="00A45772"/>
    <w:rsid w:val="00A47376"/>
    <w:rsid w:val="00A51203"/>
    <w:rsid w:val="00A529FE"/>
    <w:rsid w:val="00A618EA"/>
    <w:rsid w:val="00A654A1"/>
    <w:rsid w:val="00A65F33"/>
    <w:rsid w:val="00A67DC5"/>
    <w:rsid w:val="00A81602"/>
    <w:rsid w:val="00A849B2"/>
    <w:rsid w:val="00A8562F"/>
    <w:rsid w:val="00A8797E"/>
    <w:rsid w:val="00AB1F86"/>
    <w:rsid w:val="00AD0E46"/>
    <w:rsid w:val="00AD1F02"/>
    <w:rsid w:val="00AE1FCE"/>
    <w:rsid w:val="00B14BA0"/>
    <w:rsid w:val="00B25423"/>
    <w:rsid w:val="00B3170B"/>
    <w:rsid w:val="00B40AD8"/>
    <w:rsid w:val="00B41DAB"/>
    <w:rsid w:val="00B5118E"/>
    <w:rsid w:val="00B523F9"/>
    <w:rsid w:val="00B52F49"/>
    <w:rsid w:val="00B7081B"/>
    <w:rsid w:val="00B71DFE"/>
    <w:rsid w:val="00B735B4"/>
    <w:rsid w:val="00B76DED"/>
    <w:rsid w:val="00B76F5F"/>
    <w:rsid w:val="00B80755"/>
    <w:rsid w:val="00B8303A"/>
    <w:rsid w:val="00B931A9"/>
    <w:rsid w:val="00B93494"/>
    <w:rsid w:val="00B93ABD"/>
    <w:rsid w:val="00BB158C"/>
    <w:rsid w:val="00BB6500"/>
    <w:rsid w:val="00BC511D"/>
    <w:rsid w:val="00BD35CC"/>
    <w:rsid w:val="00BE1F73"/>
    <w:rsid w:val="00BF2089"/>
    <w:rsid w:val="00BF2495"/>
    <w:rsid w:val="00BF6D7E"/>
    <w:rsid w:val="00BF7680"/>
    <w:rsid w:val="00C04FB0"/>
    <w:rsid w:val="00C056FD"/>
    <w:rsid w:val="00C07A90"/>
    <w:rsid w:val="00C20F03"/>
    <w:rsid w:val="00C22E35"/>
    <w:rsid w:val="00C246A5"/>
    <w:rsid w:val="00C272FD"/>
    <w:rsid w:val="00C33A68"/>
    <w:rsid w:val="00C37D03"/>
    <w:rsid w:val="00C422FD"/>
    <w:rsid w:val="00C62B81"/>
    <w:rsid w:val="00C86C75"/>
    <w:rsid w:val="00CB0D3B"/>
    <w:rsid w:val="00CB520A"/>
    <w:rsid w:val="00D02A36"/>
    <w:rsid w:val="00D0747F"/>
    <w:rsid w:val="00D076BB"/>
    <w:rsid w:val="00D23A6A"/>
    <w:rsid w:val="00D353B2"/>
    <w:rsid w:val="00D4357C"/>
    <w:rsid w:val="00D45B2D"/>
    <w:rsid w:val="00D6210A"/>
    <w:rsid w:val="00D70903"/>
    <w:rsid w:val="00D74AB8"/>
    <w:rsid w:val="00D76E8F"/>
    <w:rsid w:val="00DA01DB"/>
    <w:rsid w:val="00DB212A"/>
    <w:rsid w:val="00DB390A"/>
    <w:rsid w:val="00DC5965"/>
    <w:rsid w:val="00DC5F1A"/>
    <w:rsid w:val="00DE11B8"/>
    <w:rsid w:val="00DE2593"/>
    <w:rsid w:val="00DE39AE"/>
    <w:rsid w:val="00DE6336"/>
    <w:rsid w:val="00DF03B5"/>
    <w:rsid w:val="00DF39DF"/>
    <w:rsid w:val="00DF49E9"/>
    <w:rsid w:val="00E01D11"/>
    <w:rsid w:val="00E0625E"/>
    <w:rsid w:val="00E16DAC"/>
    <w:rsid w:val="00E2696D"/>
    <w:rsid w:val="00E31512"/>
    <w:rsid w:val="00E42266"/>
    <w:rsid w:val="00E509D8"/>
    <w:rsid w:val="00E50C9F"/>
    <w:rsid w:val="00E60DFC"/>
    <w:rsid w:val="00E72F1E"/>
    <w:rsid w:val="00E7376E"/>
    <w:rsid w:val="00E87499"/>
    <w:rsid w:val="00EC66CE"/>
    <w:rsid w:val="00EE1930"/>
    <w:rsid w:val="00EF3AE0"/>
    <w:rsid w:val="00F0007D"/>
    <w:rsid w:val="00F023F4"/>
    <w:rsid w:val="00F20237"/>
    <w:rsid w:val="00F22A87"/>
    <w:rsid w:val="00F22AF1"/>
    <w:rsid w:val="00F34379"/>
    <w:rsid w:val="00F34C75"/>
    <w:rsid w:val="00F421C4"/>
    <w:rsid w:val="00F8126D"/>
    <w:rsid w:val="00F84FE9"/>
    <w:rsid w:val="00F87F76"/>
    <w:rsid w:val="00F913EC"/>
    <w:rsid w:val="00F932D9"/>
    <w:rsid w:val="00F93F99"/>
    <w:rsid w:val="00F964A0"/>
    <w:rsid w:val="00FA0F6A"/>
    <w:rsid w:val="00FA4CA2"/>
    <w:rsid w:val="00FA65DA"/>
    <w:rsid w:val="00FA78F1"/>
    <w:rsid w:val="00FB493A"/>
    <w:rsid w:val="00FB6D5E"/>
    <w:rsid w:val="00FD0BAD"/>
    <w:rsid w:val="00FF1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02EA"/>
  <w15:docId w15:val="{64E85AA2-6A77-4941-A7EC-45DD3BC3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13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7F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F06"/>
    <w:rPr>
      <w:rFonts w:ascii="Tahoma" w:hAnsi="Tahoma" w:cs="Tahoma"/>
      <w:sz w:val="16"/>
      <w:szCs w:val="16"/>
    </w:rPr>
  </w:style>
  <w:style w:type="table" w:styleId="Grigliatabella">
    <w:name w:val="Table Grid"/>
    <w:basedOn w:val="Tabellanormale"/>
    <w:uiPriority w:val="59"/>
    <w:rsid w:val="00167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E50C9F"/>
    <w:pPr>
      <w:ind w:left="720"/>
      <w:contextualSpacing/>
    </w:pPr>
  </w:style>
  <w:style w:type="paragraph" w:styleId="Intestazione">
    <w:name w:val="header"/>
    <w:basedOn w:val="Normale"/>
    <w:link w:val="IntestazioneCarattere"/>
    <w:unhideWhenUsed/>
    <w:rsid w:val="000C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C6870"/>
  </w:style>
  <w:style w:type="paragraph" w:styleId="Pidipagina">
    <w:name w:val="footer"/>
    <w:basedOn w:val="Normale"/>
    <w:link w:val="PidipaginaCarattere"/>
    <w:uiPriority w:val="99"/>
    <w:semiHidden/>
    <w:unhideWhenUsed/>
    <w:rsid w:val="000C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6870"/>
  </w:style>
  <w:style w:type="paragraph" w:styleId="Corpotesto">
    <w:name w:val="Body Text"/>
    <w:basedOn w:val="Normale"/>
    <w:link w:val="CorpotestoCarattere"/>
    <w:uiPriority w:val="1"/>
    <w:qFormat/>
    <w:rsid w:val="00D0747F"/>
    <w:pPr>
      <w:suppressAutoHyphens/>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1"/>
    <w:rsid w:val="00D0747F"/>
    <w:rPr>
      <w:rFonts w:ascii="Times New Roman" w:eastAsia="Times New Roman" w:hAnsi="Times New Roman" w:cs="Times New Roman"/>
      <w:sz w:val="20"/>
      <w:szCs w:val="20"/>
      <w:lang w:eastAsia="it-IT"/>
    </w:rPr>
  </w:style>
  <w:style w:type="paragraph" w:customStyle="1" w:styleId="FirstParagraph">
    <w:name w:val="First Paragraph"/>
    <w:basedOn w:val="Corpotesto"/>
    <w:next w:val="Corpotesto"/>
    <w:qFormat/>
    <w:rsid w:val="001D7021"/>
    <w:pPr>
      <w:suppressAutoHyphens w:val="0"/>
      <w:spacing w:before="180" w:after="180"/>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1D7021"/>
    <w:pPr>
      <w:suppressAutoHyphens w:val="0"/>
      <w:spacing w:before="36" w:after="36"/>
    </w:pPr>
    <w:rPr>
      <w:rFonts w:asciiTheme="minorHAnsi" w:eastAsiaTheme="minorHAnsi" w:hAnsiTheme="minorHAnsi" w:cstheme="minorBidi"/>
      <w:sz w:val="24"/>
      <w:szCs w:val="24"/>
      <w:lang w:val="en-US" w:eastAsia="en-US"/>
    </w:rPr>
  </w:style>
  <w:style w:type="paragraph" w:customStyle="1" w:styleId="Standard">
    <w:name w:val="Standard"/>
    <w:rsid w:val="003E4854"/>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Default">
    <w:name w:val="Default"/>
    <w:rsid w:val="00873175"/>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semiHidden/>
    <w:unhideWhenUsed/>
    <w:rsid w:val="00DB212A"/>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table" w:customStyle="1" w:styleId="Grigliatabella1">
    <w:name w:val="Griglia tabella1"/>
    <w:basedOn w:val="Tabellanormale"/>
    <w:next w:val="Grigliatabella"/>
    <w:uiPriority w:val="59"/>
    <w:rsid w:val="00FF10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B4FB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956F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956F9"/>
    <w:pPr>
      <w:widowControl w:val="0"/>
      <w:spacing w:after="0" w:line="240" w:lineRule="auto"/>
    </w:pPr>
    <w:rPr>
      <w:lang w:val="en-US"/>
    </w:rPr>
  </w:style>
  <w:style w:type="paragraph" w:styleId="Rientrocorpodeltesto2">
    <w:name w:val="Body Text Indent 2"/>
    <w:basedOn w:val="Normale"/>
    <w:link w:val="Rientrocorpodeltesto2Carattere"/>
    <w:semiHidden/>
    <w:unhideWhenUsed/>
    <w:rsid w:val="001956F9"/>
    <w:pPr>
      <w:widowControl w:val="0"/>
      <w:spacing w:after="120" w:line="480" w:lineRule="auto"/>
      <w:ind w:left="283"/>
    </w:pPr>
    <w:rPr>
      <w:lang w:val="en-US"/>
    </w:rPr>
  </w:style>
  <w:style w:type="character" w:customStyle="1" w:styleId="Rientrocorpodeltesto2Carattere">
    <w:name w:val="Rientro corpo del testo 2 Carattere"/>
    <w:basedOn w:val="Carpredefinitoparagrafo"/>
    <w:link w:val="Rientrocorpodeltesto2"/>
    <w:semiHidden/>
    <w:rsid w:val="001956F9"/>
    <w:rPr>
      <w:lang w:val="en-US"/>
    </w:rPr>
  </w:style>
  <w:style w:type="paragraph" w:customStyle="1" w:styleId="Titolo11">
    <w:name w:val="Titolo 11"/>
    <w:basedOn w:val="Normale"/>
    <w:uiPriority w:val="1"/>
    <w:qFormat/>
    <w:rsid w:val="007B60AD"/>
    <w:pPr>
      <w:widowControl w:val="0"/>
      <w:spacing w:after="0" w:line="240" w:lineRule="auto"/>
      <w:ind w:left="115"/>
      <w:outlineLvl w:val="1"/>
    </w:pPr>
    <w:rPr>
      <w:rFonts w:ascii="Calibri" w:eastAsia="Calibri" w:hAnsi="Calibri"/>
      <w:b/>
      <w:bCs/>
      <w: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C766F-D8AE-4667-A760-D8C26F3F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1066</Words>
  <Characters>6081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cbr0054</dc:creator>
  <cp:lastModifiedBy>cbr0110</cp:lastModifiedBy>
  <cp:revision>12</cp:revision>
  <cp:lastPrinted>2024-02-13T14:53:00Z</cp:lastPrinted>
  <dcterms:created xsi:type="dcterms:W3CDTF">2023-12-05T11:50:00Z</dcterms:created>
  <dcterms:modified xsi:type="dcterms:W3CDTF">2024-02-28T15:22:00Z</dcterms:modified>
</cp:coreProperties>
</file>